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36"/>
          <w:lang w:val="en-US" w:eastAsia="zh-CN"/>
        </w:rPr>
      </w:pPr>
      <w:r>
        <w:rPr>
          <w:rFonts w:hint="eastAsia"/>
          <w:sz w:val="36"/>
          <w:szCs w:val="36"/>
          <w:lang w:val="en-US" w:eastAsia="zh-CN"/>
        </w:rPr>
        <w:t>不予处罚事项清单</w:t>
      </w:r>
    </w:p>
    <w:p>
      <w:pPr>
        <w:jc w:val="both"/>
        <w:rPr>
          <w:rFonts w:hint="eastAsia"/>
          <w:sz w:val="32"/>
          <w:szCs w:val="32"/>
          <w:lang w:val="en-US" w:eastAsia="zh-CN"/>
        </w:rPr>
      </w:pPr>
    </w:p>
    <w:tbl>
      <w:tblPr>
        <w:tblStyle w:val="4"/>
        <w:tblW w:w="14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190"/>
        <w:gridCol w:w="1877"/>
        <w:gridCol w:w="3389"/>
        <w:gridCol w:w="4817"/>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2"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序号</w:t>
            </w:r>
          </w:p>
        </w:tc>
        <w:tc>
          <w:tcPr>
            <w:tcW w:w="2190"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处罚事项名称</w:t>
            </w:r>
          </w:p>
        </w:tc>
        <w:tc>
          <w:tcPr>
            <w:tcW w:w="1877"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实施机关</w:t>
            </w:r>
          </w:p>
        </w:tc>
        <w:tc>
          <w:tcPr>
            <w:tcW w:w="3389"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不予处罚的情形</w:t>
            </w:r>
          </w:p>
        </w:tc>
        <w:tc>
          <w:tcPr>
            <w:tcW w:w="4817"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不予处罚的依据</w:t>
            </w:r>
          </w:p>
        </w:tc>
        <w:tc>
          <w:tcPr>
            <w:tcW w:w="1013"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jc w:val="center"/>
        </w:trPr>
        <w:tc>
          <w:tcPr>
            <w:tcW w:w="912"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190" w:type="dxa"/>
            <w:vAlign w:val="center"/>
          </w:tcPr>
          <w:p>
            <w:pPr>
              <w:jc w:val="left"/>
              <w:rPr>
                <w:rFonts w:hint="eastAsia"/>
                <w:sz w:val="24"/>
                <w:szCs w:val="24"/>
                <w:vertAlign w:val="baseline"/>
                <w:lang w:val="en-US" w:eastAsia="zh-CN"/>
              </w:rPr>
            </w:pPr>
            <w:r>
              <w:rPr>
                <w:rFonts w:hint="eastAsia"/>
                <w:sz w:val="24"/>
                <w:szCs w:val="24"/>
                <w:vertAlign w:val="baseline"/>
                <w:lang w:val="en-US" w:eastAsia="zh-CN"/>
              </w:rPr>
              <w:t>单位不办理住房公积金缴存登记或者不为本单位职工办理住房公积金账户设立手续</w:t>
            </w:r>
          </w:p>
        </w:tc>
        <w:tc>
          <w:tcPr>
            <w:tcW w:w="187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四平市住房公积金管理中心</w:t>
            </w:r>
          </w:p>
        </w:tc>
        <w:tc>
          <w:tcPr>
            <w:tcW w:w="3389" w:type="dxa"/>
            <w:vAlign w:val="center"/>
          </w:tcPr>
          <w:p>
            <w:pPr>
              <w:numPr>
                <w:ilvl w:val="0"/>
                <w:numId w:val="1"/>
              </w:numPr>
              <w:jc w:val="left"/>
              <w:rPr>
                <w:rFonts w:hint="eastAsia" w:cs="仿宋"/>
                <w:kern w:val="2"/>
                <w:sz w:val="24"/>
                <w:szCs w:val="24"/>
                <w:vertAlign w:val="baseline"/>
                <w:lang w:val="en-US" w:eastAsia="zh-CN" w:bidi="ar-SA"/>
              </w:rPr>
            </w:pPr>
            <w:r>
              <w:rPr>
                <w:rFonts w:hint="eastAsia" w:cs="仿宋"/>
                <w:kern w:val="2"/>
                <w:sz w:val="24"/>
                <w:szCs w:val="24"/>
                <w:vertAlign w:val="baseline"/>
                <w:lang w:val="en-US" w:eastAsia="zh-CN" w:bidi="ar-SA"/>
              </w:rPr>
              <w:t>单位违法行为轻微，且在规定限期内整改达到要求，并没有造成危害后果的；</w:t>
            </w:r>
          </w:p>
          <w:p>
            <w:pPr>
              <w:numPr>
                <w:ilvl w:val="0"/>
                <w:numId w:val="1"/>
              </w:numPr>
              <w:jc w:val="left"/>
              <w:rPr>
                <w:rFonts w:hint="default" w:cs="仿宋"/>
                <w:kern w:val="2"/>
                <w:sz w:val="24"/>
                <w:szCs w:val="24"/>
                <w:vertAlign w:val="baseline"/>
                <w:lang w:val="en-US" w:eastAsia="zh-CN" w:bidi="ar-SA"/>
              </w:rPr>
            </w:pPr>
            <w:r>
              <w:rPr>
                <w:rFonts w:hint="eastAsia" w:cs="仿宋"/>
                <w:kern w:val="2"/>
                <w:sz w:val="24"/>
                <w:szCs w:val="24"/>
                <w:vertAlign w:val="baseline"/>
                <w:lang w:val="en-US" w:eastAsia="zh-CN" w:bidi="ar-SA"/>
              </w:rPr>
              <w:t>初次违法且危害后果轻微，并在规定限期内整改达到要求的；</w:t>
            </w:r>
          </w:p>
          <w:p>
            <w:pPr>
              <w:numPr>
                <w:ilvl w:val="0"/>
                <w:numId w:val="1"/>
              </w:numPr>
              <w:jc w:val="left"/>
              <w:rPr>
                <w:rFonts w:hint="default" w:cs="仿宋"/>
                <w:kern w:val="2"/>
                <w:sz w:val="24"/>
                <w:szCs w:val="24"/>
                <w:vertAlign w:val="baseline"/>
                <w:lang w:val="en-US" w:eastAsia="zh-CN" w:bidi="ar-SA"/>
              </w:rPr>
            </w:pPr>
            <w:r>
              <w:rPr>
                <w:rFonts w:hint="eastAsia" w:cs="仿宋"/>
                <w:kern w:val="2"/>
                <w:sz w:val="24"/>
                <w:szCs w:val="24"/>
                <w:vertAlign w:val="baseline"/>
                <w:lang w:val="en-US" w:eastAsia="zh-CN" w:bidi="ar-SA"/>
              </w:rPr>
              <w:t>单位有证据足以证明没有主观过错的；</w:t>
            </w:r>
          </w:p>
          <w:p>
            <w:pPr>
              <w:numPr>
                <w:ilvl w:val="0"/>
                <w:numId w:val="1"/>
              </w:numPr>
              <w:jc w:val="left"/>
              <w:rPr>
                <w:rFonts w:hint="default" w:cs="仿宋"/>
                <w:kern w:val="2"/>
                <w:sz w:val="24"/>
                <w:szCs w:val="24"/>
                <w:vertAlign w:val="baseline"/>
                <w:lang w:val="en-US" w:eastAsia="zh-CN" w:bidi="ar-SA"/>
              </w:rPr>
            </w:pPr>
            <w:r>
              <w:rPr>
                <w:rFonts w:hint="eastAsia" w:cs="仿宋"/>
                <w:kern w:val="2"/>
                <w:sz w:val="24"/>
                <w:szCs w:val="24"/>
                <w:vertAlign w:val="baseline"/>
                <w:lang w:val="en-US" w:eastAsia="zh-CN" w:bidi="ar-SA"/>
              </w:rPr>
              <w:t>其他依法应当不予处罚的情形。</w:t>
            </w:r>
          </w:p>
        </w:tc>
        <w:tc>
          <w:tcPr>
            <w:tcW w:w="4817" w:type="dxa"/>
            <w:vAlign w:val="center"/>
          </w:tcPr>
          <w:p>
            <w:pPr>
              <w:jc w:val="left"/>
              <w:rPr>
                <w:rFonts w:hint="eastAsia"/>
                <w:sz w:val="24"/>
                <w:szCs w:val="24"/>
                <w:vertAlign w:val="baseline"/>
                <w:lang w:val="en-US" w:eastAsia="zh-CN"/>
              </w:rPr>
            </w:pPr>
            <w:r>
              <w:rPr>
                <w:rFonts w:hint="eastAsia"/>
                <w:b/>
                <w:bCs/>
                <w:sz w:val="24"/>
                <w:szCs w:val="24"/>
                <w:vertAlign w:val="baseline"/>
                <w:lang w:val="en-US" w:eastAsia="zh-CN"/>
              </w:rPr>
              <w:t>《中华人民共和国行政处罚法》第三十三条</w:t>
            </w:r>
            <w:r>
              <w:rPr>
                <w:rFonts w:hint="eastAsia"/>
                <w:sz w:val="24"/>
                <w:szCs w:val="24"/>
                <w:vertAlign w:val="baseline"/>
                <w:lang w:val="en-US" w:eastAsia="zh-CN"/>
              </w:rPr>
              <w:t xml:space="preserve">  违法行为轻微并及时改正，没有造成危害后果的，不予行政处罚。初次违法且危害后果轻微并及时改正的，可以不予行政处罚。</w:t>
            </w:r>
          </w:p>
          <w:p>
            <w:pPr>
              <w:jc w:val="left"/>
              <w:rPr>
                <w:rFonts w:hint="eastAsia"/>
                <w:sz w:val="24"/>
                <w:szCs w:val="24"/>
                <w:vertAlign w:val="baseline"/>
                <w:lang w:val="en-US" w:eastAsia="zh-CN"/>
              </w:rPr>
            </w:pPr>
            <w:r>
              <w:rPr>
                <w:rFonts w:hint="eastAsia"/>
                <w:sz w:val="24"/>
                <w:szCs w:val="24"/>
                <w:vertAlign w:val="baseline"/>
                <w:lang w:val="en-US" w:eastAsia="zh-CN"/>
              </w:rPr>
              <w:t>当事人有证据足以证明没有主观过错的，不予行政处罚。法律、行政法规另有规定的，从其规定。对当事人的违法行为依法不予行政处罚的，行政机关应当对当事人进行教育。</w:t>
            </w:r>
          </w:p>
        </w:tc>
        <w:tc>
          <w:tcPr>
            <w:tcW w:w="1013" w:type="dxa"/>
          </w:tcPr>
          <w:p>
            <w:pPr>
              <w:jc w:val="both"/>
              <w:rPr>
                <w:rFonts w:hint="eastAsia"/>
                <w:sz w:val="28"/>
                <w:szCs w:val="28"/>
                <w:vertAlign w:val="baseline"/>
                <w:lang w:val="en-US" w:eastAsia="zh-CN"/>
              </w:rPr>
            </w:pPr>
          </w:p>
        </w:tc>
      </w:tr>
    </w:tbl>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default"/>
          <w:sz w:val="36"/>
          <w:szCs w:val="36"/>
          <w:lang w:val="en-US" w:eastAsia="zh-CN"/>
        </w:rPr>
      </w:pPr>
      <w:r>
        <w:rPr>
          <w:rFonts w:hint="eastAsia"/>
          <w:sz w:val="36"/>
          <w:szCs w:val="36"/>
          <w:lang w:val="en-US" w:eastAsia="zh-CN"/>
        </w:rPr>
        <w:t>从轻处罚事项清单</w:t>
      </w:r>
    </w:p>
    <w:p>
      <w:pPr>
        <w:jc w:val="both"/>
        <w:rPr>
          <w:rFonts w:hint="eastAsia"/>
          <w:sz w:val="32"/>
          <w:szCs w:val="32"/>
          <w:lang w:val="en-US" w:eastAsia="zh-CN"/>
        </w:rPr>
      </w:pPr>
    </w:p>
    <w:tbl>
      <w:tblPr>
        <w:tblStyle w:val="4"/>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250"/>
        <w:gridCol w:w="1567"/>
        <w:gridCol w:w="2506"/>
        <w:gridCol w:w="6094"/>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12"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序号</w:t>
            </w:r>
          </w:p>
        </w:tc>
        <w:tc>
          <w:tcPr>
            <w:tcW w:w="2250" w:type="dxa"/>
            <w:vAlign w:val="center"/>
          </w:tcPr>
          <w:p>
            <w:pPr>
              <w:tabs>
                <w:tab w:val="left" w:pos="1920"/>
              </w:tabs>
              <w:jc w:val="center"/>
              <w:rPr>
                <w:rFonts w:hint="eastAsia"/>
                <w:sz w:val="32"/>
                <w:szCs w:val="32"/>
                <w:vertAlign w:val="baseline"/>
                <w:lang w:val="en-US" w:eastAsia="zh-CN"/>
              </w:rPr>
            </w:pPr>
            <w:r>
              <w:rPr>
                <w:rFonts w:hint="eastAsia"/>
                <w:sz w:val="32"/>
                <w:szCs w:val="32"/>
                <w:vertAlign w:val="baseline"/>
                <w:lang w:val="en-US" w:eastAsia="zh-CN"/>
              </w:rPr>
              <w:t>处罚事项名称</w:t>
            </w:r>
          </w:p>
        </w:tc>
        <w:tc>
          <w:tcPr>
            <w:tcW w:w="1567"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实施机关</w:t>
            </w:r>
          </w:p>
        </w:tc>
        <w:tc>
          <w:tcPr>
            <w:tcW w:w="2506"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从轻处罚的情形</w:t>
            </w:r>
          </w:p>
        </w:tc>
        <w:tc>
          <w:tcPr>
            <w:tcW w:w="6094"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从轻处罚的依据</w:t>
            </w:r>
          </w:p>
        </w:tc>
        <w:tc>
          <w:tcPr>
            <w:tcW w:w="869"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912"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250" w:type="dxa"/>
            <w:vAlign w:val="center"/>
          </w:tcPr>
          <w:p>
            <w:pPr>
              <w:jc w:val="left"/>
              <w:rPr>
                <w:rFonts w:hint="eastAsia"/>
                <w:sz w:val="24"/>
                <w:szCs w:val="24"/>
                <w:vertAlign w:val="baseline"/>
                <w:lang w:val="en-US" w:eastAsia="zh-CN"/>
              </w:rPr>
            </w:pPr>
            <w:r>
              <w:rPr>
                <w:rFonts w:hint="eastAsia"/>
                <w:sz w:val="24"/>
                <w:szCs w:val="24"/>
                <w:vertAlign w:val="baseline"/>
                <w:lang w:val="en-US" w:eastAsia="zh-CN"/>
              </w:rPr>
              <w:t>单位不办理住房公积金缴存登记或者不为本单位职工办理住房公积金账户设立手续</w:t>
            </w:r>
          </w:p>
        </w:tc>
        <w:tc>
          <w:tcPr>
            <w:tcW w:w="156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四平市住房公积金管理中心</w:t>
            </w:r>
          </w:p>
        </w:tc>
        <w:tc>
          <w:tcPr>
            <w:tcW w:w="2506" w:type="dxa"/>
            <w:vAlign w:val="center"/>
          </w:tcPr>
          <w:p>
            <w:pPr>
              <w:numPr>
                <w:ilvl w:val="0"/>
                <w:numId w:val="2"/>
              </w:numPr>
              <w:bidi w:val="0"/>
              <w:rPr>
                <w:rFonts w:hint="eastAsia"/>
                <w:sz w:val="24"/>
                <w:szCs w:val="24"/>
                <w:lang w:val="en-US" w:eastAsia="zh-CN"/>
              </w:rPr>
            </w:pPr>
            <w:r>
              <w:rPr>
                <w:rFonts w:hint="eastAsia"/>
                <w:sz w:val="24"/>
                <w:szCs w:val="24"/>
                <w:lang w:val="en-US" w:eastAsia="zh-CN"/>
              </w:rPr>
              <w:t>单位主动减轻违法行为危害后果的；</w:t>
            </w:r>
          </w:p>
          <w:p>
            <w:pPr>
              <w:numPr>
                <w:ilvl w:val="0"/>
                <w:numId w:val="2"/>
              </w:numPr>
              <w:bidi w:val="0"/>
              <w:rPr>
                <w:rFonts w:hint="default"/>
                <w:sz w:val="24"/>
                <w:szCs w:val="24"/>
                <w:lang w:val="en-US" w:eastAsia="zh-CN"/>
              </w:rPr>
            </w:pPr>
            <w:r>
              <w:rPr>
                <w:rFonts w:hint="eastAsia"/>
                <w:sz w:val="24"/>
                <w:szCs w:val="24"/>
                <w:lang w:val="en-US" w:eastAsia="zh-CN"/>
              </w:rPr>
              <w:t>其他依法应当从轻处罚的情形。</w:t>
            </w:r>
          </w:p>
        </w:tc>
        <w:tc>
          <w:tcPr>
            <w:tcW w:w="6094" w:type="dxa"/>
            <w:vAlign w:val="center"/>
          </w:tcPr>
          <w:p>
            <w:pPr>
              <w:jc w:val="both"/>
              <w:rPr>
                <w:rFonts w:hint="eastAsia" w:ascii="仿宋" w:hAnsi="仿宋" w:eastAsia="仿宋" w:cs="仿宋"/>
                <w:b w:val="0"/>
                <w:color w:val="333333"/>
                <w:sz w:val="24"/>
                <w:szCs w:val="24"/>
                <w:lang w:val="en-US" w:eastAsia="zh-CN"/>
              </w:rPr>
            </w:pPr>
            <w:r>
              <w:rPr>
                <w:rFonts w:hint="eastAsia"/>
                <w:b/>
                <w:bCs/>
                <w:sz w:val="24"/>
                <w:szCs w:val="24"/>
                <w:vertAlign w:val="baseline"/>
                <w:lang w:val="en-US" w:eastAsia="zh-CN"/>
              </w:rPr>
              <w:t>《中华人民共和国行政处罚法》</w:t>
            </w:r>
            <w:r>
              <w:rPr>
                <w:rFonts w:hint="eastAsia"/>
                <w:b/>
                <w:bCs/>
                <w:sz w:val="24"/>
                <w:szCs w:val="24"/>
                <w:lang w:val="en-US" w:eastAsia="zh-CN"/>
              </w:rPr>
              <w:t>第三十二条</w:t>
            </w:r>
            <w:r>
              <w:rPr>
                <w:rFonts w:hint="eastAsia"/>
                <w:sz w:val="24"/>
                <w:szCs w:val="24"/>
                <w:lang w:val="en-US" w:eastAsia="zh-CN"/>
              </w:rPr>
              <w:t xml:space="preserve">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69" w:type="dxa"/>
            <w:vAlign w:val="center"/>
          </w:tcPr>
          <w:p>
            <w:pPr>
              <w:jc w:val="both"/>
              <w:rPr>
                <w:rFonts w:hint="eastAsia"/>
                <w:sz w:val="28"/>
                <w:szCs w:val="28"/>
                <w:vertAlign w:val="baseline"/>
                <w:lang w:val="en-US" w:eastAsia="zh-CN"/>
              </w:rPr>
            </w:pPr>
          </w:p>
        </w:tc>
      </w:tr>
    </w:tbl>
    <w:p>
      <w:pPr>
        <w:jc w:val="both"/>
        <w:rPr>
          <w:rFonts w:hint="eastAsia"/>
          <w:sz w:val="44"/>
          <w:szCs w:val="44"/>
          <w:lang w:val="en-US" w:eastAsia="zh-CN"/>
        </w:rPr>
      </w:pPr>
    </w:p>
    <w:p>
      <w:pPr>
        <w:jc w:val="both"/>
        <w:rPr>
          <w:rFonts w:hint="eastAsia"/>
          <w:sz w:val="44"/>
          <w:szCs w:val="44"/>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r>
        <w:rPr>
          <w:rFonts w:hint="eastAsia"/>
          <w:sz w:val="36"/>
          <w:szCs w:val="36"/>
          <w:lang w:val="en-US" w:eastAsia="zh-CN"/>
        </w:rPr>
        <w:t>减轻处罚事项清单</w:t>
      </w:r>
    </w:p>
    <w:p>
      <w:pPr>
        <w:jc w:val="center"/>
        <w:rPr>
          <w:rFonts w:hint="default"/>
          <w:sz w:val="36"/>
          <w:szCs w:val="36"/>
          <w:lang w:val="en-US" w:eastAsia="zh-CN"/>
        </w:rPr>
      </w:pPr>
    </w:p>
    <w:tbl>
      <w:tblPr>
        <w:tblStyle w:val="4"/>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184"/>
        <w:gridCol w:w="1600"/>
        <w:gridCol w:w="2633"/>
        <w:gridCol w:w="5627"/>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序号</w:t>
            </w:r>
          </w:p>
        </w:tc>
        <w:tc>
          <w:tcPr>
            <w:tcW w:w="2184"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处罚事项名称</w:t>
            </w:r>
          </w:p>
        </w:tc>
        <w:tc>
          <w:tcPr>
            <w:tcW w:w="1600"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实施机关</w:t>
            </w:r>
          </w:p>
        </w:tc>
        <w:tc>
          <w:tcPr>
            <w:tcW w:w="2633"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减轻处罚的情形</w:t>
            </w:r>
          </w:p>
        </w:tc>
        <w:tc>
          <w:tcPr>
            <w:tcW w:w="5627"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减轻处罚的依据</w:t>
            </w:r>
          </w:p>
        </w:tc>
        <w:tc>
          <w:tcPr>
            <w:tcW w:w="1086"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1068"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w:t>
            </w:r>
          </w:p>
        </w:tc>
        <w:tc>
          <w:tcPr>
            <w:tcW w:w="218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单位不办理住房公积金缴存登记或者不为本单位职工办理住房公积金账户设立手续</w:t>
            </w:r>
          </w:p>
        </w:tc>
        <w:tc>
          <w:tcPr>
            <w:tcW w:w="160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四平市住房公积金管理中心</w:t>
            </w:r>
          </w:p>
        </w:tc>
        <w:tc>
          <w:tcPr>
            <w:tcW w:w="2633" w:type="dxa"/>
            <w:vAlign w:val="center"/>
          </w:tcPr>
          <w:p>
            <w:pPr>
              <w:pStyle w:val="2"/>
              <w:keepNext w:val="0"/>
              <w:keepLines w:val="0"/>
              <w:widowControl/>
              <w:numPr>
                <w:ilvl w:val="0"/>
                <w:numId w:val="3"/>
              </w:numPr>
              <w:suppressLineNumbers w:val="0"/>
              <w:ind w:left="0" w:leftChars="0" w:right="0" w:rightChars="0"/>
              <w:jc w:val="left"/>
              <w:rPr>
                <w:rFonts w:hint="eastAsia" w:cs="仿宋"/>
                <w:kern w:val="2"/>
                <w:sz w:val="24"/>
                <w:szCs w:val="24"/>
                <w:vertAlign w:val="baseline"/>
                <w:lang w:val="en-US" w:eastAsia="zh-CN" w:bidi="ar-SA"/>
              </w:rPr>
            </w:pPr>
            <w:r>
              <w:rPr>
                <w:rFonts w:hint="eastAsia" w:cs="仿宋"/>
                <w:kern w:val="2"/>
                <w:sz w:val="24"/>
                <w:szCs w:val="24"/>
                <w:vertAlign w:val="baseline"/>
                <w:lang w:val="en-US" w:eastAsia="zh-CN" w:bidi="ar-SA"/>
              </w:rPr>
              <w:t>单位主动消除违法行为危害后果的；</w:t>
            </w:r>
          </w:p>
          <w:p>
            <w:pPr>
              <w:pStyle w:val="2"/>
              <w:keepNext w:val="0"/>
              <w:keepLines w:val="0"/>
              <w:widowControl/>
              <w:numPr>
                <w:ilvl w:val="0"/>
                <w:numId w:val="3"/>
              </w:numPr>
              <w:suppressLineNumbers w:val="0"/>
              <w:ind w:left="0" w:leftChars="0" w:right="0" w:rightChars="0"/>
              <w:jc w:val="left"/>
              <w:rPr>
                <w:rFonts w:hint="default" w:cs="仿宋"/>
                <w:kern w:val="2"/>
                <w:sz w:val="24"/>
                <w:szCs w:val="24"/>
                <w:vertAlign w:val="baseline"/>
                <w:lang w:val="en-US" w:eastAsia="zh-CN" w:bidi="ar-SA"/>
              </w:rPr>
            </w:pPr>
            <w:r>
              <w:rPr>
                <w:rFonts w:hint="eastAsia" w:cs="仿宋"/>
                <w:kern w:val="2"/>
                <w:sz w:val="24"/>
                <w:szCs w:val="24"/>
                <w:vertAlign w:val="baseline"/>
                <w:lang w:val="en-US" w:eastAsia="zh-CN" w:bidi="ar-SA"/>
              </w:rPr>
              <w:t>其他依法应当减轻处罚的情形。</w:t>
            </w:r>
          </w:p>
        </w:tc>
        <w:tc>
          <w:tcPr>
            <w:tcW w:w="5627" w:type="dxa"/>
            <w:vAlign w:val="center"/>
          </w:tcPr>
          <w:p>
            <w:pPr>
              <w:jc w:val="both"/>
              <w:rPr>
                <w:rFonts w:hint="eastAsia" w:ascii="仿宋" w:hAnsi="仿宋" w:eastAsia="仿宋" w:cs="仿宋"/>
                <w:b w:val="0"/>
                <w:color w:val="333333"/>
                <w:sz w:val="24"/>
                <w:szCs w:val="24"/>
                <w:lang w:val="en-US" w:eastAsia="zh-CN"/>
              </w:rPr>
            </w:pPr>
            <w:r>
              <w:rPr>
                <w:rFonts w:hint="eastAsia"/>
                <w:b/>
                <w:bCs/>
                <w:sz w:val="24"/>
                <w:szCs w:val="24"/>
                <w:vertAlign w:val="baseline"/>
                <w:lang w:val="en-US" w:eastAsia="zh-CN"/>
              </w:rPr>
              <w:t>《中华人民共和国行政处罚法》</w:t>
            </w:r>
            <w:r>
              <w:rPr>
                <w:rFonts w:hint="eastAsia"/>
                <w:b/>
                <w:bCs/>
                <w:sz w:val="24"/>
                <w:szCs w:val="24"/>
                <w:lang w:val="en-US" w:eastAsia="zh-CN"/>
              </w:rPr>
              <w:t>第三十二条</w:t>
            </w:r>
            <w:r>
              <w:rPr>
                <w:rFonts w:hint="eastAsia"/>
                <w:sz w:val="24"/>
                <w:szCs w:val="24"/>
                <w:lang w:val="en-US" w:eastAsia="zh-CN"/>
              </w:rPr>
              <w:t xml:space="preserve">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086" w:type="dxa"/>
            <w:vAlign w:val="top"/>
          </w:tcPr>
          <w:p>
            <w:pPr>
              <w:jc w:val="both"/>
              <w:rPr>
                <w:rFonts w:hint="eastAsia"/>
                <w:sz w:val="32"/>
                <w:szCs w:val="32"/>
                <w:vertAlign w:val="baseline"/>
                <w:lang w:val="en-US" w:eastAsia="zh-CN"/>
              </w:rPr>
            </w:pPr>
          </w:p>
        </w:tc>
      </w:tr>
    </w:tbl>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jc w:val="center"/>
        <w:rPr>
          <w:rFonts w:hint="eastAsia"/>
          <w:sz w:val="36"/>
          <w:szCs w:val="36"/>
          <w:lang w:val="en-US" w:eastAsia="zh-CN"/>
        </w:rPr>
      </w:pPr>
    </w:p>
    <w:p>
      <w:pPr>
        <w:jc w:val="center"/>
        <w:rPr>
          <w:rFonts w:hint="eastAsia"/>
          <w:sz w:val="36"/>
          <w:szCs w:val="36"/>
          <w:lang w:val="en-US" w:eastAsia="zh-CN"/>
        </w:rPr>
      </w:pPr>
      <w:bookmarkStart w:id="0" w:name="_GoBack"/>
      <w:bookmarkEnd w:id="0"/>
      <w:r>
        <w:rPr>
          <w:rFonts w:hint="eastAsia"/>
          <w:sz w:val="36"/>
          <w:szCs w:val="36"/>
          <w:lang w:val="en-US" w:eastAsia="zh-CN"/>
        </w:rPr>
        <w:t>免予行政强制事项清单</w:t>
      </w:r>
    </w:p>
    <w:p>
      <w:pPr>
        <w:jc w:val="center"/>
        <w:rPr>
          <w:rFonts w:hint="default"/>
          <w:sz w:val="36"/>
          <w:szCs w:val="36"/>
          <w:lang w:val="en-US" w:eastAsia="zh-CN"/>
        </w:rPr>
      </w:pPr>
    </w:p>
    <w:tbl>
      <w:tblPr>
        <w:tblStyle w:val="4"/>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603"/>
        <w:gridCol w:w="1547"/>
        <w:gridCol w:w="3286"/>
        <w:gridCol w:w="3289"/>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29"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序号</w:t>
            </w:r>
          </w:p>
        </w:tc>
        <w:tc>
          <w:tcPr>
            <w:tcW w:w="3603"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处罚事项名称</w:t>
            </w:r>
          </w:p>
        </w:tc>
        <w:tc>
          <w:tcPr>
            <w:tcW w:w="1547"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实施机关</w:t>
            </w:r>
          </w:p>
        </w:tc>
        <w:tc>
          <w:tcPr>
            <w:tcW w:w="3286"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免于行政强制的情形</w:t>
            </w:r>
          </w:p>
        </w:tc>
        <w:tc>
          <w:tcPr>
            <w:tcW w:w="3289"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免于行政强制的依据</w:t>
            </w:r>
          </w:p>
        </w:tc>
        <w:tc>
          <w:tcPr>
            <w:tcW w:w="1344"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1129" w:type="dxa"/>
            <w:vAlign w:val="center"/>
          </w:tcPr>
          <w:p>
            <w:pPr>
              <w:jc w:val="center"/>
              <w:rPr>
                <w:rFonts w:hint="default"/>
                <w:sz w:val="32"/>
                <w:szCs w:val="32"/>
                <w:vertAlign w:val="baseline"/>
                <w:lang w:val="en-US" w:eastAsia="zh-CN"/>
              </w:rPr>
            </w:pPr>
            <w:r>
              <w:rPr>
                <w:rFonts w:hint="eastAsia"/>
                <w:sz w:val="32"/>
                <w:szCs w:val="32"/>
                <w:vertAlign w:val="baseline"/>
                <w:lang w:val="en-US" w:eastAsia="zh-CN"/>
              </w:rPr>
              <w:t>1</w:t>
            </w:r>
          </w:p>
        </w:tc>
        <w:tc>
          <w:tcPr>
            <w:tcW w:w="3603" w:type="dxa"/>
            <w:vAlign w:val="center"/>
          </w:tcPr>
          <w:p>
            <w:pPr>
              <w:jc w:val="center"/>
              <w:rPr>
                <w:rFonts w:hint="eastAsia"/>
                <w:sz w:val="32"/>
                <w:szCs w:val="32"/>
                <w:vertAlign w:val="baseline"/>
                <w:lang w:val="en-US" w:eastAsia="zh-CN"/>
              </w:rPr>
            </w:pPr>
            <w:r>
              <w:rPr>
                <w:rFonts w:hint="eastAsia"/>
                <w:sz w:val="24"/>
                <w:szCs w:val="24"/>
                <w:vertAlign w:val="baseline"/>
                <w:lang w:val="en-US" w:eastAsia="zh-CN"/>
              </w:rPr>
              <w:t>无</w:t>
            </w:r>
          </w:p>
        </w:tc>
        <w:tc>
          <w:tcPr>
            <w:tcW w:w="1547" w:type="dxa"/>
            <w:vAlign w:val="center"/>
          </w:tcPr>
          <w:p>
            <w:pPr>
              <w:jc w:val="center"/>
              <w:rPr>
                <w:rFonts w:hint="eastAsia"/>
                <w:sz w:val="32"/>
                <w:szCs w:val="32"/>
                <w:vertAlign w:val="baseline"/>
                <w:lang w:val="en-US" w:eastAsia="zh-CN"/>
              </w:rPr>
            </w:pPr>
          </w:p>
        </w:tc>
        <w:tc>
          <w:tcPr>
            <w:tcW w:w="3286" w:type="dxa"/>
            <w:vAlign w:val="center"/>
          </w:tcPr>
          <w:p>
            <w:pPr>
              <w:pStyle w:val="2"/>
              <w:keepNext w:val="0"/>
              <w:keepLines w:val="0"/>
              <w:widowControl/>
              <w:suppressLineNumbers w:val="0"/>
              <w:ind w:left="0" w:leftChars="0" w:right="0" w:rightChars="0"/>
              <w:jc w:val="left"/>
              <w:rPr>
                <w:rFonts w:hint="eastAsia"/>
                <w:sz w:val="32"/>
                <w:szCs w:val="32"/>
                <w:vertAlign w:val="baseline"/>
                <w:lang w:val="en-US" w:eastAsia="zh-CN"/>
              </w:rPr>
            </w:pPr>
          </w:p>
        </w:tc>
        <w:tc>
          <w:tcPr>
            <w:tcW w:w="3289" w:type="dxa"/>
            <w:vAlign w:val="top"/>
          </w:tcPr>
          <w:p>
            <w:pPr>
              <w:jc w:val="both"/>
              <w:rPr>
                <w:rFonts w:hint="eastAsia" w:ascii="仿宋" w:hAnsi="仿宋" w:eastAsia="仿宋" w:cs="仿宋"/>
                <w:b w:val="0"/>
                <w:color w:val="333333"/>
                <w:sz w:val="24"/>
                <w:szCs w:val="24"/>
                <w:lang w:val="en-US" w:eastAsia="zh-CN"/>
              </w:rPr>
            </w:pPr>
          </w:p>
        </w:tc>
        <w:tc>
          <w:tcPr>
            <w:tcW w:w="1344" w:type="dxa"/>
            <w:vAlign w:val="top"/>
          </w:tcPr>
          <w:p>
            <w:pPr>
              <w:jc w:val="both"/>
              <w:rPr>
                <w:rFonts w:hint="eastAsia"/>
                <w:sz w:val="32"/>
                <w:szCs w:val="32"/>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884F3"/>
    <w:multiLevelType w:val="singleLevel"/>
    <w:tmpl w:val="BA4884F3"/>
    <w:lvl w:ilvl="0" w:tentative="0">
      <w:start w:val="1"/>
      <w:numFmt w:val="decimal"/>
      <w:lvlText w:val="%1."/>
      <w:lvlJc w:val="left"/>
      <w:pPr>
        <w:tabs>
          <w:tab w:val="left" w:pos="312"/>
        </w:tabs>
      </w:pPr>
    </w:lvl>
  </w:abstractNum>
  <w:abstractNum w:abstractNumId="1">
    <w:nsid w:val="FAFEFE6A"/>
    <w:multiLevelType w:val="singleLevel"/>
    <w:tmpl w:val="FAFEFE6A"/>
    <w:lvl w:ilvl="0" w:tentative="0">
      <w:start w:val="1"/>
      <w:numFmt w:val="decimal"/>
      <w:lvlText w:val="%1."/>
      <w:lvlJc w:val="left"/>
      <w:pPr>
        <w:tabs>
          <w:tab w:val="left" w:pos="312"/>
        </w:tabs>
      </w:pPr>
    </w:lvl>
  </w:abstractNum>
  <w:abstractNum w:abstractNumId="2">
    <w:nsid w:val="6A741245"/>
    <w:multiLevelType w:val="singleLevel"/>
    <w:tmpl w:val="6A741245"/>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NTM0Yjg1MTBiOTA2ZmZhZDFkMDk4MTk5YzM5ZTEifQ=="/>
  </w:docVars>
  <w:rsids>
    <w:rsidRoot w:val="00000000"/>
    <w:rsid w:val="34932A8A"/>
    <w:rsid w:val="401E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2023-10-09T00:32:00Z</dcterms:created>
  <dc:creator>86159</dc:creator>
  <cp:lastModifiedBy>WPS_1681095786</cp:lastModifiedBy>
  <dcterms:modified xsi:type="dcterms:W3CDTF">2023-10-10T02:20:37Z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10E5280A031B4BE596EBAEC48633E86E_12</vt:lpwstr>
  </property>
</Properties>
</file>