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F847">
      <w:pPr>
        <w:keepNext w:val="0"/>
        <w:keepLines w:val="0"/>
        <w:pageBreakBefore w:val="0"/>
        <w:widowControl/>
        <w:kinsoku/>
        <w:wordWrap/>
        <w:overflowPunct w:val="0"/>
        <w:topLinePunct w:val="0"/>
        <w:autoSpaceDE/>
        <w:autoSpaceDN/>
        <w:bidi w:val="0"/>
        <w:adjustRightInd/>
        <w:snapToGrid/>
        <w:spacing w:line="560" w:lineRule="exact"/>
        <w:jc w:val="center"/>
        <w:textAlignment w:val="auto"/>
        <w:outlineLvl w:val="0"/>
        <w:rPr>
          <w:rFonts w:hint="eastAsia" w:ascii="黑体" w:hAnsi="黑体" w:eastAsia="黑体" w:cs="仿宋"/>
          <w:b/>
          <w:bCs/>
          <w:sz w:val="44"/>
          <w:szCs w:val="44"/>
          <w:highlight w:val="none"/>
          <w:lang w:val="en-US" w:eastAsia="zh-CN"/>
        </w:rPr>
      </w:pPr>
      <w:r>
        <w:rPr>
          <w:rFonts w:hint="eastAsia" w:ascii="黑体" w:hAnsi="黑体" w:eastAsia="黑体" w:cs="仿宋"/>
          <w:b/>
          <w:bCs/>
          <w:sz w:val="44"/>
          <w:szCs w:val="44"/>
          <w:highlight w:val="none"/>
          <w:lang w:val="en-US" w:eastAsia="zh-CN"/>
        </w:rPr>
        <w:t>四平市住房公积金管理中心</w:t>
      </w:r>
    </w:p>
    <w:p w14:paraId="28C22C6E">
      <w:pPr>
        <w:keepNext w:val="0"/>
        <w:keepLines w:val="0"/>
        <w:pageBreakBefore w:val="0"/>
        <w:widowControl/>
        <w:kinsoku/>
        <w:wordWrap/>
        <w:overflowPunct w:val="0"/>
        <w:topLinePunct w:val="0"/>
        <w:autoSpaceDE/>
        <w:autoSpaceDN/>
        <w:bidi w:val="0"/>
        <w:adjustRightInd/>
        <w:snapToGrid/>
        <w:spacing w:line="560" w:lineRule="exact"/>
        <w:jc w:val="center"/>
        <w:textAlignment w:val="auto"/>
        <w:outlineLvl w:val="0"/>
        <w:rPr>
          <w:rFonts w:hint="eastAsia" w:ascii="黑体" w:hAnsi="黑体" w:eastAsia="黑体" w:cs="仿宋"/>
          <w:b/>
          <w:bCs/>
          <w:sz w:val="44"/>
          <w:szCs w:val="44"/>
          <w:highlight w:val="none"/>
          <w:lang w:val="en-US" w:eastAsia="zh-CN"/>
        </w:rPr>
      </w:pPr>
      <w:r>
        <w:rPr>
          <w:rFonts w:hint="eastAsia" w:ascii="黑体" w:hAnsi="黑体" w:eastAsia="黑体" w:cs="仿宋"/>
          <w:b/>
          <w:bCs/>
          <w:sz w:val="44"/>
          <w:szCs w:val="44"/>
          <w:highlight w:val="none"/>
          <w:lang w:val="en-US" w:eastAsia="zh-CN"/>
        </w:rPr>
        <w:t>2025年度法治政府</w:t>
      </w:r>
      <w:r>
        <w:rPr>
          <w:rFonts w:hint="eastAsia" w:ascii="方正小标宋简体" w:hAnsi="方正小标宋简体" w:eastAsia="方正小标宋简体" w:cs="方正小标宋简体"/>
          <w:sz w:val="44"/>
          <w:szCs w:val="44"/>
          <w:highlight w:val="none"/>
          <w:lang w:val="en-US" w:eastAsia="zh-CN"/>
        </w:rPr>
        <w:t>建设</w:t>
      </w:r>
      <w:r>
        <w:rPr>
          <w:rFonts w:hint="eastAsia" w:ascii="黑体" w:hAnsi="黑体" w:eastAsia="黑体" w:cs="仿宋"/>
          <w:b/>
          <w:bCs/>
          <w:sz w:val="44"/>
          <w:szCs w:val="44"/>
          <w:highlight w:val="none"/>
          <w:lang w:val="en-US" w:eastAsia="zh-CN"/>
        </w:rPr>
        <w:t>工作报告</w:t>
      </w:r>
    </w:p>
    <w:p w14:paraId="14D09DF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jc w:val="both"/>
        <w:textAlignment w:val="auto"/>
        <w:rPr>
          <w:rFonts w:hint="eastAsia" w:ascii="仿宋" w:hAnsi="仿宋" w:eastAsia="仿宋" w:cs="仿宋"/>
          <w:i w:val="0"/>
          <w:iCs w:val="0"/>
          <w:caps w:val="0"/>
          <w:color w:val="000000"/>
          <w:spacing w:val="0"/>
          <w:sz w:val="32"/>
          <w:szCs w:val="32"/>
          <w:highlight w:val="yellow"/>
          <w:shd w:val="clear" w:fill="FFFFFF"/>
          <w:lang w:val="en-US" w:eastAsia="zh-CN" w:bidi="ar-SA"/>
        </w:rPr>
      </w:pPr>
    </w:p>
    <w:p w14:paraId="58583AED">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jc w:val="both"/>
        <w:textAlignment w:val="auto"/>
        <w:outlineLvl w:val="0"/>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val="0"/>
          <w:bCs w:val="0"/>
          <w:color w:val="000000"/>
          <w:kern w:val="2"/>
          <w:sz w:val="32"/>
          <w:szCs w:val="32"/>
          <w:highlight w:val="none"/>
          <w:lang w:val="en-US" w:eastAsia="zh-CN" w:bidi="ar-SA"/>
        </w:rPr>
        <w:t>市政府并市委：</w:t>
      </w:r>
    </w:p>
    <w:p w14:paraId="26A6665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val="0"/>
          <w:bCs w:val="0"/>
          <w:color w:val="000000"/>
          <w:kern w:val="2"/>
          <w:sz w:val="32"/>
          <w:szCs w:val="32"/>
          <w:highlight w:val="none"/>
          <w:lang w:val="en-US" w:eastAsia="zh-CN" w:bidi="ar-SA"/>
        </w:rPr>
        <w:t>2025年，四平市住房公积金管理中心（以下简称“中心”）始终坚持以习近平新时代中国特色社会主义思想为指引，全面落实中央、省、市关于法治政府建设的决策部署，扎实推进法治政府建设各项工作，现将工作情况报告如下：</w:t>
      </w:r>
    </w:p>
    <w:p w14:paraId="206E1E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黑体" w:hAnsi="黑体" w:eastAsia="黑体" w:cs="黑体"/>
          <w:b w:val="0"/>
          <w:bCs w:val="0"/>
          <w:i w:val="0"/>
          <w:iCs w:val="0"/>
          <w:caps w:val="0"/>
          <w:color w:val="000000"/>
          <w:spacing w:val="0"/>
          <w:sz w:val="32"/>
          <w:szCs w:val="32"/>
          <w:highlight w:val="none"/>
          <w:shd w:val="clear" w:fill="FFFFFF"/>
        </w:rPr>
        <w:t>一、推进法治政府建设的主要举措和成效</w:t>
      </w:r>
    </w:p>
    <w:p w14:paraId="0910E692">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default" w:ascii="楷体_GB2312" w:hAnsi="楷体_GB2312" w:eastAsia="楷体_GB2312" w:cs="楷体_GB2312"/>
          <w:i w:val="0"/>
          <w:iCs w:val="0"/>
          <w:caps w:val="0"/>
          <w:color w:val="000000"/>
          <w:spacing w:val="0"/>
          <w:sz w:val="32"/>
          <w:szCs w:val="32"/>
          <w:highlight w:val="none"/>
          <w:shd w:val="clear" w:fill="FFFFFF"/>
          <w:lang w:val="en-US" w:eastAsia="zh-CN" w:bidi="ar-SA"/>
        </w:rPr>
      </w:pPr>
      <w:r>
        <w:rPr>
          <w:rFonts w:hint="eastAsia" w:ascii="楷体_GB2312" w:hAnsi="楷体_GB2312" w:eastAsia="楷体_GB2312" w:cs="楷体_GB2312"/>
          <w:i w:val="0"/>
          <w:iCs w:val="0"/>
          <w:caps w:val="0"/>
          <w:color w:val="000000"/>
          <w:spacing w:val="0"/>
          <w:sz w:val="32"/>
          <w:szCs w:val="32"/>
          <w:highlight w:val="none"/>
          <w:shd w:val="clear" w:fill="FFFFFF"/>
          <w:lang w:val="en-US" w:eastAsia="zh-CN" w:bidi="ar-SA"/>
        </w:rPr>
        <w:t>（一）强化组织领导，压实法治建设责任</w:t>
      </w:r>
    </w:p>
    <w:p w14:paraId="4EF30A4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val="0"/>
          <w:bCs w:val="0"/>
          <w:color w:val="000000"/>
          <w:kern w:val="2"/>
          <w:sz w:val="32"/>
          <w:szCs w:val="32"/>
          <w:highlight w:val="none"/>
          <w:lang w:val="en-US" w:eastAsia="zh-CN" w:bidi="ar-SA"/>
        </w:rPr>
        <w:t>中心主要负责人严格履行推进住房公积金法治建设第一责任人职责，建立以党组书记、主任为组长，党组成员、副主任为副组长，各管理部主任及相关科长为成员的法治建设领导小组，负责对中心全年重大法治建设目标任务进行统一部署，突出工作重点，明确责任分工，确保落实到位。</w:t>
      </w:r>
    </w:p>
    <w:p w14:paraId="149F3D4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default" w:ascii="楷体_GB2312" w:hAnsi="楷体_GB2312" w:eastAsia="楷体_GB2312" w:cs="楷体_GB2312"/>
          <w:b w:val="0"/>
          <w:bCs w:val="0"/>
          <w:i w:val="0"/>
          <w:iCs w:val="0"/>
          <w:caps w:val="0"/>
          <w:color w:val="000000"/>
          <w:spacing w:val="0"/>
          <w:kern w:val="2"/>
          <w:sz w:val="32"/>
          <w:szCs w:val="32"/>
          <w:highlight w:val="none"/>
          <w:shd w:val="clear" w:color="auto" w:fill="FFFFFF"/>
          <w:lang w:val="en-US" w:eastAsia="zh-CN" w:bidi="ar-SA"/>
        </w:rPr>
      </w:pPr>
      <w:r>
        <w:rPr>
          <w:rFonts w:hint="eastAsia" w:ascii="楷体_GB2312" w:hAnsi="楷体_GB2312" w:eastAsia="楷体_GB2312" w:cs="楷体_GB2312"/>
          <w:b w:val="0"/>
          <w:bCs w:val="0"/>
          <w:i w:val="0"/>
          <w:iCs w:val="0"/>
          <w:caps w:val="0"/>
          <w:color w:val="000000"/>
          <w:spacing w:val="0"/>
          <w:kern w:val="2"/>
          <w:sz w:val="32"/>
          <w:szCs w:val="32"/>
          <w:highlight w:val="none"/>
          <w:shd w:val="clear" w:color="auto" w:fill="FFFFFF"/>
          <w:lang w:val="en-US" w:eastAsia="zh-CN" w:bidi="ar-SA"/>
        </w:rPr>
        <w:t>（二）完善制度体系，规范行政决策行为</w:t>
      </w:r>
    </w:p>
    <w:p w14:paraId="3BD92FB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0"/>
        <w:rPr>
          <w:rFonts w:hint="default"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一是加强规范性文件备案管理。</w:t>
      </w:r>
      <w:r>
        <w:rPr>
          <w:rFonts w:hint="eastAsia" w:ascii="仿宋_GB2312" w:hAnsi="宋体" w:eastAsia="仿宋_GB2312" w:cs="方正仿宋_GB2312"/>
          <w:b w:val="0"/>
          <w:bCs w:val="0"/>
          <w:color w:val="000000"/>
          <w:kern w:val="2"/>
          <w:sz w:val="32"/>
          <w:szCs w:val="32"/>
          <w:highlight w:val="none"/>
          <w:lang w:val="en-US" w:eastAsia="zh-CN" w:bidi="ar-SA"/>
        </w:rPr>
        <w:t>严格执行规范性文件制定程序，报送到市司法局备案材料共6份，切实履行规范性文件备案审查制度，做到“有件必备、有备必审、有错必纠”。</w:t>
      </w:r>
      <w:r>
        <w:rPr>
          <w:rFonts w:hint="eastAsia" w:ascii="仿宋_GB2312" w:hAnsi="宋体" w:eastAsia="仿宋_GB2312" w:cs="方正仿宋_GB2312"/>
          <w:b/>
          <w:bCs/>
          <w:color w:val="000000"/>
          <w:kern w:val="2"/>
          <w:sz w:val="32"/>
          <w:szCs w:val="32"/>
          <w:highlight w:val="none"/>
          <w:lang w:val="en-US" w:eastAsia="zh-CN" w:bidi="ar-SA"/>
        </w:rPr>
        <w:t>二是健全依法决策制度。</w:t>
      </w:r>
      <w:r>
        <w:rPr>
          <w:rFonts w:hint="eastAsia" w:ascii="仿宋_GB2312" w:hAnsi="宋体" w:eastAsia="仿宋_GB2312" w:cs="方正仿宋_GB2312"/>
          <w:b w:val="0"/>
          <w:bCs w:val="0"/>
          <w:color w:val="000000"/>
          <w:kern w:val="2"/>
          <w:sz w:val="32"/>
          <w:szCs w:val="32"/>
          <w:highlight w:val="none"/>
          <w:lang w:val="en-US" w:eastAsia="zh-CN" w:bidi="ar-SA"/>
        </w:rPr>
        <w:t>进一步完善依法决策机制，明确决策主体、事项范围、法定程序和法律责任，规范决策流程，强化决策法定程序，减少并及时纠正违法决策和不当决策情形的发生。</w:t>
      </w:r>
      <w:r>
        <w:rPr>
          <w:rFonts w:hint="eastAsia" w:ascii="仿宋_GB2312" w:hAnsi="宋体" w:eastAsia="仿宋_GB2312" w:cs="方正仿宋_GB2312"/>
          <w:b/>
          <w:bCs/>
          <w:color w:val="000000"/>
          <w:kern w:val="2"/>
          <w:sz w:val="32"/>
          <w:szCs w:val="32"/>
          <w:highlight w:val="none"/>
          <w:lang w:val="en-US" w:eastAsia="zh-CN" w:bidi="ar-SA"/>
        </w:rPr>
        <w:t>三是全面推行法律顾问制度。</w:t>
      </w:r>
      <w:r>
        <w:rPr>
          <w:rFonts w:hint="eastAsia" w:ascii="仿宋_GB2312" w:hAnsi="宋体" w:eastAsia="仿宋_GB2312" w:cs="方正仿宋_GB2312"/>
          <w:b w:val="0"/>
          <w:bCs w:val="0"/>
          <w:color w:val="000000"/>
          <w:kern w:val="2"/>
          <w:sz w:val="32"/>
          <w:szCs w:val="32"/>
          <w:highlight w:val="none"/>
          <w:lang w:val="en-US" w:eastAsia="zh-CN" w:bidi="ar-SA"/>
        </w:rPr>
        <w:t>在制度拟定、规范性文件出台、中心对外合同签定和涉及法律风险的业务问题处理过程中，充分征求法律顾问意见建议，经法律顾问审核修改文件、合同共50份，为中心的核心业务运行提供坚实的法律保障。</w:t>
      </w:r>
    </w:p>
    <w:p w14:paraId="32BC6B2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t>（三）规范执法行为，提升执法监管效能</w:t>
      </w:r>
    </w:p>
    <w:p w14:paraId="156C803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0"/>
        <w:rPr>
          <w:rFonts w:hint="default"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一是强化人员资格管理。</w:t>
      </w:r>
      <w:r>
        <w:rPr>
          <w:rFonts w:hint="eastAsia" w:ascii="仿宋_GB2312" w:hAnsi="宋体" w:eastAsia="仿宋_GB2312" w:cs="方正仿宋_GB2312"/>
          <w:b w:val="0"/>
          <w:bCs w:val="0"/>
          <w:color w:val="000000"/>
          <w:kern w:val="2"/>
          <w:sz w:val="32"/>
          <w:szCs w:val="32"/>
          <w:highlight w:val="none"/>
          <w:lang w:val="en-US" w:eastAsia="zh-CN" w:bidi="ar-SA"/>
        </w:rPr>
        <w:t>鼓励年轻干部积极取得行政执法证，新申领行政执法证共11人，已全部通过考试等待制证，中心现有持证人员44人。</w:t>
      </w:r>
      <w:r>
        <w:rPr>
          <w:rFonts w:hint="eastAsia" w:ascii="仿宋_GB2312" w:hAnsi="宋体" w:eastAsia="仿宋_GB2312" w:cs="方正仿宋_GB2312"/>
          <w:b/>
          <w:bCs/>
          <w:color w:val="000000"/>
          <w:kern w:val="2"/>
          <w:sz w:val="32"/>
          <w:szCs w:val="32"/>
          <w:highlight w:val="none"/>
          <w:lang w:val="en-US" w:eastAsia="zh-CN" w:bidi="ar-SA"/>
        </w:rPr>
        <w:t>二是严格规范执法程序。</w:t>
      </w:r>
      <w:r>
        <w:rPr>
          <w:rFonts w:hint="eastAsia" w:ascii="仿宋_GB2312" w:hAnsi="宋体" w:eastAsia="仿宋_GB2312" w:cs="方正仿宋_GB2312"/>
          <w:b w:val="0"/>
          <w:bCs w:val="0"/>
          <w:color w:val="000000"/>
          <w:kern w:val="2"/>
          <w:sz w:val="32"/>
          <w:szCs w:val="32"/>
          <w:highlight w:val="none"/>
          <w:lang w:val="en-US" w:eastAsia="zh-CN" w:bidi="ar-SA"/>
        </w:rPr>
        <w:t>系统梳理、完善执法流程，细化执法标准，确保执法公正透明；成立案件审核委员会，通过集体研讨、专业把关强化执法监督，召开会议4次，有效提升案件审核的专业性和规范性。</w:t>
      </w:r>
      <w:r>
        <w:rPr>
          <w:rFonts w:hint="eastAsia" w:ascii="仿宋_GB2312" w:hAnsi="宋体" w:eastAsia="仿宋_GB2312" w:cs="方正仿宋_GB2312"/>
          <w:b/>
          <w:bCs/>
          <w:color w:val="000000"/>
          <w:kern w:val="2"/>
          <w:sz w:val="32"/>
          <w:szCs w:val="32"/>
          <w:highlight w:val="none"/>
          <w:lang w:val="en-US" w:eastAsia="zh-CN" w:bidi="ar-SA"/>
        </w:rPr>
        <w:t>三是强化执法监管力度。</w:t>
      </w:r>
      <w:r>
        <w:rPr>
          <w:rFonts w:hint="eastAsia" w:ascii="仿宋_GB2312" w:hAnsi="宋体" w:eastAsia="仿宋_GB2312" w:cs="方正仿宋_GB2312"/>
          <w:b w:val="0"/>
          <w:bCs w:val="0"/>
          <w:color w:val="000000"/>
          <w:kern w:val="2"/>
          <w:sz w:val="32"/>
          <w:szCs w:val="32"/>
          <w:highlight w:val="none"/>
          <w:lang w:val="en-US" w:eastAsia="zh-CN" w:bidi="ar-SA"/>
        </w:rPr>
        <w:t>重点核查单位是否按时足额缴存住房公积金，以及办理缴存登记和职工账户设立手续等是否符合规定，开展执法检查10次，对检查发现的问题，依法依规要求相关单位整改，并跟踪督导确保落实；严格执行“企业宁静日”等文明涉企执法制度，做到强监管与优服务相结合。</w:t>
      </w:r>
    </w:p>
    <w:p w14:paraId="66FC19DC">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1"/>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t>（四）优化政务服务，营造法治化营商环境</w:t>
      </w:r>
    </w:p>
    <w:p w14:paraId="6BD1337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3" w:firstLineChars="200"/>
        <w:jc w:val="both"/>
        <w:textAlignment w:val="auto"/>
        <w:outlineLvl w:val="0"/>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一是精简要件，简化流程。</w:t>
      </w:r>
      <w:r>
        <w:rPr>
          <w:rFonts w:hint="eastAsia" w:ascii="仿宋_GB2312" w:hAnsi="宋体" w:eastAsia="仿宋_GB2312" w:cs="方正仿宋_GB2312"/>
          <w:b w:val="0"/>
          <w:bCs w:val="0"/>
          <w:color w:val="000000"/>
          <w:kern w:val="2"/>
          <w:sz w:val="32"/>
          <w:szCs w:val="32"/>
          <w:highlight w:val="none"/>
          <w:lang w:val="en-US" w:eastAsia="zh-CN" w:bidi="ar-SA"/>
        </w:rPr>
        <w:t>实行协查机制和容缺受理，真正实现“只跑一次”；单位汇缴，退休提取等多项业务通过线上办理实现零要件，秒办，秒批，秒到账。</w:t>
      </w:r>
      <w:r>
        <w:rPr>
          <w:rFonts w:hint="eastAsia" w:ascii="仿宋_GB2312" w:hAnsi="宋体" w:eastAsia="仿宋_GB2312" w:cs="方正仿宋_GB2312"/>
          <w:b/>
          <w:bCs/>
          <w:color w:val="000000"/>
          <w:kern w:val="2"/>
          <w:sz w:val="32"/>
          <w:szCs w:val="32"/>
          <w:highlight w:val="none"/>
          <w:lang w:val="en-US" w:eastAsia="zh-CN" w:bidi="ar-SA"/>
        </w:rPr>
        <w:t>二是全程网办，好办快办。</w:t>
      </w:r>
      <w:r>
        <w:rPr>
          <w:rFonts w:hint="eastAsia" w:ascii="仿宋_GB2312" w:hAnsi="宋体" w:eastAsia="仿宋_GB2312" w:cs="方正仿宋_GB2312"/>
          <w:b w:val="0"/>
          <w:bCs w:val="0"/>
          <w:color w:val="000000"/>
          <w:kern w:val="2"/>
          <w:sz w:val="32"/>
          <w:szCs w:val="32"/>
          <w:highlight w:val="none"/>
          <w:lang w:val="en-US" w:eastAsia="zh-CN" w:bidi="ar-SA"/>
        </w:rPr>
        <w:t>打通地域壁垒，实现高频业务事项“跨省通办”全覆盖；创新线上服务，利用手机公积金APP等线上渠道实现89.19%业务可“全程网办”；拓宽线上服务渠道，实现服务事项“网上办，掌上办，就近办，一次办”更加好办易办。</w:t>
      </w:r>
      <w:r>
        <w:rPr>
          <w:rFonts w:hint="eastAsia" w:ascii="仿宋_GB2312" w:hAnsi="宋体" w:eastAsia="仿宋_GB2312" w:cs="方正仿宋_GB2312"/>
          <w:b/>
          <w:bCs/>
          <w:color w:val="000000"/>
          <w:kern w:val="2"/>
          <w:sz w:val="32"/>
          <w:szCs w:val="32"/>
          <w:highlight w:val="none"/>
          <w:lang w:val="en-US" w:eastAsia="zh-CN" w:bidi="ar-SA"/>
        </w:rPr>
        <w:t>三是靠前服务，帮办代办。</w:t>
      </w:r>
      <w:r>
        <w:rPr>
          <w:rFonts w:hint="eastAsia" w:ascii="仿宋_GB2312" w:hAnsi="宋体" w:eastAsia="仿宋_GB2312" w:cs="方正仿宋_GB2312"/>
          <w:b w:val="0"/>
          <w:bCs w:val="0"/>
          <w:color w:val="000000"/>
          <w:kern w:val="2"/>
          <w:sz w:val="32"/>
          <w:szCs w:val="32"/>
          <w:highlight w:val="none"/>
          <w:lang w:val="en-US" w:eastAsia="zh-CN" w:bidi="ar-SA"/>
        </w:rPr>
        <w:t>创新服务举措，开展引导式服务，上门服务，预约服务，工作日午间不间断服务，延时服务等举措。2025年被四平市政务服务和数字化建设管理局评为第一、二、四季度“优秀窗口单位”，6名同志获“党员先锋岗”和“优秀服务示范岗”等荣誉，收到群众锦旗和感谢信10份。</w:t>
      </w:r>
    </w:p>
    <w:p w14:paraId="7E9CA98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val="0"/>
        <w:topLinePunct w:val="0"/>
        <w:autoSpaceDE/>
        <w:autoSpaceDN/>
        <w:bidi w:val="0"/>
        <w:adjustRightInd/>
        <w:snapToGrid/>
        <w:spacing w:before="0" w:beforeAutospacing="0" w:after="0" w:afterAutospacing="0" w:line="560" w:lineRule="exact"/>
        <w:ind w:right="0" w:rightChars="0" w:firstLine="640" w:firstLineChars="200"/>
        <w:jc w:val="both"/>
        <w:textAlignment w:val="auto"/>
        <w:outlineLvl w:val="0"/>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000000"/>
          <w:spacing w:val="0"/>
          <w:sz w:val="32"/>
          <w:szCs w:val="32"/>
          <w:highlight w:val="none"/>
          <w:shd w:val="clear" w:fill="FFFFFF"/>
          <w:lang w:val="en-US" w:eastAsia="zh-CN" w:bidi="ar-SA"/>
        </w:rPr>
        <w:t>（五）深化普法宣传，夯实法治思想根基</w:t>
      </w:r>
    </w:p>
    <w:p w14:paraId="74A69D20">
      <w:pPr>
        <w:keepNext w:val="0"/>
        <w:keepLines w:val="0"/>
        <w:pageBreakBefore w:val="0"/>
        <w:widowControl/>
        <w:suppressLineNumbers w:val="0"/>
        <w:kinsoku/>
        <w:wordWrap/>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一是深入学习习近平法治思想。</w:t>
      </w:r>
      <w:r>
        <w:rPr>
          <w:rFonts w:hint="eastAsia" w:ascii="仿宋_GB2312" w:hAnsi="宋体" w:eastAsia="仿宋_GB2312" w:cs="方正仿宋_GB2312"/>
          <w:b w:val="0"/>
          <w:bCs w:val="0"/>
          <w:color w:val="000000"/>
          <w:kern w:val="2"/>
          <w:sz w:val="32"/>
          <w:szCs w:val="32"/>
          <w:highlight w:val="none"/>
          <w:lang w:val="en-US" w:eastAsia="zh-CN" w:bidi="ar-SA"/>
        </w:rPr>
        <w:t>将《习近平法治思想学习纲要》列入党组理论学习中心组学习、干部培训、党员学习的重要内容。党组理论学习中心组集中开展4次习近平法治思想专题学习；开展党员学习和干部职工学习活动，将习近平法治思想作为重要学习内容。</w:t>
      </w:r>
      <w:r>
        <w:rPr>
          <w:rFonts w:hint="eastAsia" w:ascii="仿宋_GB2312" w:hAnsi="宋体" w:eastAsia="仿宋_GB2312" w:cs="方正仿宋_GB2312"/>
          <w:b/>
          <w:bCs/>
          <w:color w:val="000000"/>
          <w:kern w:val="2"/>
          <w:sz w:val="32"/>
          <w:szCs w:val="32"/>
          <w:highlight w:val="none"/>
          <w:lang w:val="en-US" w:eastAsia="zh-CN" w:bidi="ar-SA"/>
        </w:rPr>
        <w:t>二是严格落实“谁执法谁普法”普法责任制。</w:t>
      </w:r>
      <w:r>
        <w:rPr>
          <w:rFonts w:hint="eastAsia" w:ascii="仿宋_GB2312" w:hAnsi="宋体" w:eastAsia="仿宋_GB2312" w:cs="方正仿宋_GB2312"/>
          <w:b w:val="0"/>
          <w:bCs w:val="0"/>
          <w:color w:val="000000"/>
          <w:kern w:val="2"/>
          <w:sz w:val="32"/>
          <w:szCs w:val="32"/>
          <w:highlight w:val="none"/>
          <w:lang w:val="en-US" w:eastAsia="zh-CN" w:bidi="ar-SA"/>
        </w:rPr>
        <w:t>在执法过程中，对执法情况进行记录、对执法结果进行公开，通过主动出示执法证件公开执法人员身份、告知执法结果、执法依据及当事人权利义务等方式进行执法事中普法。</w:t>
      </w:r>
      <w:r>
        <w:rPr>
          <w:rFonts w:hint="eastAsia" w:ascii="仿宋_GB2312" w:hAnsi="宋体" w:eastAsia="仿宋_GB2312" w:cs="方正仿宋_GB2312"/>
          <w:b/>
          <w:bCs/>
          <w:color w:val="000000"/>
          <w:kern w:val="2"/>
          <w:sz w:val="32"/>
          <w:szCs w:val="32"/>
          <w:highlight w:val="none"/>
          <w:lang w:val="en-US" w:eastAsia="zh-CN" w:bidi="ar-SA"/>
        </w:rPr>
        <w:t>三是深入开展法治宣教活动。</w:t>
      </w:r>
      <w:r>
        <w:rPr>
          <w:rFonts w:hint="eastAsia" w:ascii="仿宋_GB2312" w:hAnsi="宋体" w:eastAsia="仿宋_GB2312" w:cs="方正仿宋_GB2312"/>
          <w:b w:val="0"/>
          <w:bCs w:val="0"/>
          <w:color w:val="000000"/>
          <w:kern w:val="2"/>
          <w:sz w:val="32"/>
          <w:szCs w:val="32"/>
          <w:highlight w:val="none"/>
          <w:lang w:val="en-US" w:eastAsia="zh-CN" w:bidi="ar-SA"/>
        </w:rPr>
        <w:t>将法治元素融入广场、公园、社区，制发宣传资料1000份；</w:t>
      </w:r>
      <w:r>
        <w:rPr>
          <w:rFonts w:hint="eastAsia" w:ascii="仿宋_GB2312" w:hAnsi="仿宋_GB2312" w:eastAsia="仿宋_GB2312" w:cs="仿宋_GB2312"/>
          <w:b w:val="0"/>
          <w:bCs w:val="0"/>
          <w:color w:val="000000"/>
          <w:kern w:val="0"/>
          <w:sz w:val="32"/>
          <w:szCs w:val="32"/>
          <w:highlight w:val="none"/>
          <w:lang w:val="en-US" w:eastAsia="zh-CN"/>
        </w:rPr>
        <w:t>组织开展业务知识竞赛，突出法律知识核心地位，紧扣住房公积金行政执法、缴存提取、贷款管理等关键领域的法律依据与实操规范，着力强化干部职工的法治思维和依法办事能力。</w:t>
      </w:r>
    </w:p>
    <w:p w14:paraId="1E3C7E1C">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t>二、推进法治政府建设存在的不足和原因</w:t>
      </w:r>
    </w:p>
    <w:p w14:paraId="78B8BA83">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kern w:val="0"/>
          <w:sz w:val="32"/>
          <w:szCs w:val="32"/>
          <w:highlight w:val="none"/>
          <w:shd w:val="clear" w:fill="FFFFFF"/>
          <w:lang w:val="en-US" w:eastAsia="zh-CN" w:bidi="ar-SA"/>
        </w:rPr>
      </w:pPr>
      <w:r>
        <w:rPr>
          <w:rFonts w:hint="eastAsia" w:ascii="楷体_GB2312" w:hAnsi="楷体_GB2312" w:eastAsia="楷体_GB2312" w:cs="楷体_GB2312"/>
          <w:b w:val="0"/>
          <w:bCs w:val="0"/>
          <w:i w:val="0"/>
          <w:iCs w:val="0"/>
          <w:caps w:val="0"/>
          <w:color w:val="000000"/>
          <w:spacing w:val="0"/>
          <w:kern w:val="0"/>
          <w:sz w:val="32"/>
          <w:szCs w:val="32"/>
          <w:highlight w:val="none"/>
          <w:shd w:val="clear" w:fill="FFFFFF"/>
          <w:lang w:val="en-US" w:eastAsia="zh-CN" w:bidi="ar-SA"/>
        </w:rPr>
        <w:t>（一）执法力量薄弱，能力建设有待加强</w:t>
      </w:r>
    </w:p>
    <w:p w14:paraId="22179918">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一是执法工作队伍存在短板。</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年轻骨干力量储备不足，队伍活力有待提升。虽然已经增加10余名年轻干部进入到执法工作队伍，但是仍然存在执法队伍老龄化问题，一定程度上影响了执法工作的推进速度和落实效果。</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二是执法人员知识更新滞后。</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对数字化办案手段的掌握不够深入，攻坚创新能力尚有欠缺。现有执法人员的知识储备和业务技能还未及时跟上执法工作的新变化、新要求。</w:t>
      </w:r>
    </w:p>
    <w:p w14:paraId="12F5B1F0">
      <w:pPr>
        <w:keepNext w:val="0"/>
        <w:keepLines w:val="0"/>
        <w:pageBreakBefore w:val="0"/>
        <w:widowControl/>
        <w:numPr>
          <w:ilvl w:val="0"/>
          <w:numId w:val="1"/>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b w:val="0"/>
          <w:bCs w:val="0"/>
          <w:i w:val="0"/>
          <w:iCs w:val="0"/>
          <w:caps w:val="0"/>
          <w:color w:val="000000"/>
          <w:spacing w:val="0"/>
          <w:sz w:val="32"/>
          <w:szCs w:val="32"/>
          <w:highlight w:val="none"/>
          <w:shd w:val="clear" w:color="auto" w:fill="FFFFFF"/>
          <w:lang w:val="en-US" w:eastAsia="zh-CN"/>
        </w:rPr>
      </w:pPr>
      <w:r>
        <w:rPr>
          <w:rFonts w:hint="eastAsia" w:ascii="楷体_GB2312" w:hAnsi="楷体_GB2312" w:eastAsia="楷体_GB2312" w:cs="楷体_GB2312"/>
          <w:b w:val="0"/>
          <w:bCs w:val="0"/>
          <w:color w:val="000000"/>
          <w:kern w:val="0"/>
          <w:sz w:val="32"/>
          <w:szCs w:val="32"/>
          <w:highlight w:val="none"/>
          <w:lang w:eastAsia="zh-CN"/>
        </w:rPr>
        <w:t>普法</w:t>
      </w:r>
      <w:r>
        <w:rPr>
          <w:rFonts w:hint="eastAsia" w:ascii="楷体_GB2312" w:hAnsi="楷体_GB2312" w:eastAsia="楷体_GB2312" w:cs="楷体_GB2312"/>
          <w:b w:val="0"/>
          <w:bCs w:val="0"/>
          <w:color w:val="000000"/>
          <w:kern w:val="0"/>
          <w:sz w:val="32"/>
          <w:szCs w:val="32"/>
          <w:highlight w:val="none"/>
          <w:lang w:val="en-US" w:eastAsia="zh-CN"/>
        </w:rPr>
        <w:t>形式单一</w:t>
      </w:r>
      <w:r>
        <w:rPr>
          <w:rFonts w:hint="eastAsia" w:ascii="楷体_GB2312" w:hAnsi="楷体_GB2312" w:eastAsia="楷体_GB2312" w:cs="楷体_GB2312"/>
          <w:b w:val="0"/>
          <w:bCs w:val="0"/>
          <w:color w:val="000000"/>
          <w:kern w:val="0"/>
          <w:sz w:val="32"/>
          <w:szCs w:val="32"/>
          <w:highlight w:val="none"/>
          <w:lang w:eastAsia="zh-CN"/>
        </w:rPr>
        <w:t>，</w:t>
      </w:r>
      <w:r>
        <w:rPr>
          <w:rFonts w:hint="eastAsia" w:ascii="楷体_GB2312" w:hAnsi="楷体_GB2312" w:eastAsia="楷体_GB2312" w:cs="楷体_GB2312"/>
          <w:b w:val="0"/>
          <w:bCs w:val="0"/>
          <w:i w:val="0"/>
          <w:iCs w:val="0"/>
          <w:caps w:val="0"/>
          <w:color w:val="000000"/>
          <w:spacing w:val="0"/>
          <w:sz w:val="32"/>
          <w:szCs w:val="32"/>
          <w:highlight w:val="none"/>
          <w:shd w:val="clear" w:color="auto" w:fill="FFFFFF"/>
          <w:lang w:val="en-US" w:eastAsia="zh-CN"/>
        </w:rPr>
        <w:t>宣教质效有待提高</w:t>
      </w:r>
    </w:p>
    <w:p w14:paraId="4E5BF8AD">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一是</w:t>
      </w:r>
      <w:r>
        <w:rPr>
          <w:rFonts w:hint="eastAsia" w:ascii="仿宋_GB2312" w:hAnsi="仿宋_GB2312" w:eastAsia="仿宋_GB2312" w:cs="仿宋_GB2312"/>
          <w:b/>
          <w:bCs/>
          <w:i w:val="0"/>
          <w:iCs w:val="0"/>
          <w:caps w:val="0"/>
          <w:color w:val="000000"/>
          <w:spacing w:val="0"/>
          <w:sz w:val="32"/>
          <w:szCs w:val="32"/>
          <w:highlight w:val="none"/>
          <w:shd w:val="clear" w:color="auto" w:fill="FFFFFF"/>
        </w:rPr>
        <w:t>宣传形式固化问题突出。</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当前普法工作仍以传统模式为主，张贴宣传海报、发放宣传资料、开展线下讲座等线下形式占比过高，对新媒体宣传方式、方法探索欠缺，传播效果受限。</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二是面向不同群体宣教不够。</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对住房公积金方面法律法规的宣传覆盖存在盲区，面向不同群体的精准化宣传不足，不利于公积金管理工作的高效开展、条例的全面贯彻落实。</w:t>
      </w:r>
    </w:p>
    <w:p w14:paraId="28FA06B8">
      <w:pPr>
        <w:keepNext w:val="0"/>
        <w:keepLines w:val="0"/>
        <w:pageBreakBefore w:val="0"/>
        <w:widowControl/>
        <w:numPr>
          <w:ilvl w:val="0"/>
          <w:numId w:val="1"/>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pacing w:val="0"/>
          <w:w w:val="100"/>
          <w:sz w:val="32"/>
          <w:szCs w:val="32"/>
          <w:highlight w:val="none"/>
          <w:lang w:val="en-US" w:eastAsia="zh-CN"/>
        </w:rPr>
      </w:pPr>
      <w:r>
        <w:rPr>
          <w:rFonts w:hint="eastAsia" w:ascii="楷体_GB2312" w:hAnsi="楷体_GB2312" w:eastAsia="楷体_GB2312" w:cs="楷体_GB2312"/>
          <w:color w:val="auto"/>
          <w:spacing w:val="0"/>
          <w:w w:val="100"/>
          <w:sz w:val="32"/>
          <w:szCs w:val="32"/>
          <w:highlight w:val="none"/>
          <w:lang w:val="en-US" w:eastAsia="zh-CN"/>
        </w:rPr>
        <w:t>内部宣教不足，用法意识有待提升</w:t>
      </w:r>
    </w:p>
    <w:p w14:paraId="2FC48F85">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一是内部学法练兵形式单一。</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缺乏结合住房公积金业务实际的创新形式。虽然已经引入业务知识竞赛，突出法律知识核心地位，但是还需探索更具有生动性、互动性的学习形式。</w:t>
      </w:r>
      <w:r>
        <w:rPr>
          <w:rFonts w:hint="eastAsia" w:ascii="仿宋_GB2312" w:hAnsi="仿宋_GB2312" w:eastAsia="仿宋_GB2312" w:cs="仿宋_GB2312"/>
          <w:b/>
          <w:bCs/>
          <w:i w:val="0"/>
          <w:iCs w:val="0"/>
          <w:caps w:val="0"/>
          <w:color w:val="000000"/>
          <w:spacing w:val="0"/>
          <w:sz w:val="32"/>
          <w:szCs w:val="32"/>
          <w:highlight w:val="none"/>
          <w:shd w:val="clear" w:color="auto" w:fill="FFFFFF"/>
          <w:lang w:val="en-US" w:eastAsia="zh-CN"/>
        </w:rPr>
        <w:t>二是日常工作用法意识欠缺。</w:t>
      </w:r>
      <w:r>
        <w:rPr>
          <w:rFonts w:hint="default"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住房公积金领域涉及的法律法规体系繁杂，条款内容专业性、关联性强</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w:t>
      </w:r>
      <w:r>
        <w:rPr>
          <w:rFonts w:hint="default"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日常工作中，部分</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职工</w:t>
      </w:r>
      <w:r>
        <w:rPr>
          <w:rFonts w:hint="default"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仍将重心放在基本业务流程的完成上，对业务办理中隐含的法律风险防范环节重视不足</w:t>
      </w: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w:t>
      </w:r>
    </w:p>
    <w:p w14:paraId="250B92DD">
      <w:pPr>
        <w:pStyle w:val="4"/>
        <w:keepNext w:val="0"/>
        <w:keepLines w:val="0"/>
        <w:pageBreakBefore w:val="0"/>
        <w:widowControl/>
        <w:numPr>
          <w:ilvl w:val="0"/>
          <w:numId w:val="0"/>
        </w:numPr>
        <w:shd w:val="clear"/>
        <w:kinsoku/>
        <w:wordWrap/>
        <w:overflowPunct w:val="0"/>
        <w:topLinePunct w:val="0"/>
        <w:autoSpaceDE/>
        <w:autoSpaceDN/>
        <w:bidi w:val="0"/>
        <w:adjustRightInd/>
        <w:snapToGrid/>
        <w:spacing w:beforeAutospacing="0" w:afterAutospacing="0" w:line="560" w:lineRule="exact"/>
        <w:ind w:right="0" w:rightChars="0" w:firstLine="640" w:firstLineChars="200"/>
        <w:jc w:val="both"/>
        <w:textAlignment w:val="auto"/>
        <w:outlineLvl w:val="0"/>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pPr>
      <w:r>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t>三、推进法治建设第一责任人职责</w:t>
      </w:r>
    </w:p>
    <w:p w14:paraId="65C5BBCB">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000000"/>
          <w:spacing w:val="0"/>
          <w:sz w:val="32"/>
          <w:szCs w:val="32"/>
          <w:highlight w:val="none"/>
          <w:shd w:val="clear" w:color="auto" w:fill="FFFFFF"/>
          <w:lang w:val="en-US" w:eastAsia="zh-CN"/>
        </w:rPr>
        <w:t>中心党组书记、主任切实履行推进法治建设第一责任人职责，将法治政府建设深度融入住房公积金工作全局统筹推进。带头深学笃行习近平法治思想，为法治建设筑牢制度根基；专题研究解决普法宣传、队伍建设等关键问题；推动政务公开、执法规范等工作落地，层层压实责任，全面提升住房公积金领域法治化工作水平。</w:t>
      </w:r>
    </w:p>
    <w:p w14:paraId="25367F3C">
      <w:pPr>
        <w:keepNext w:val="0"/>
        <w:keepLines w:val="0"/>
        <w:pageBreakBefore w:val="0"/>
        <w:widowControl/>
        <w:kinsoku/>
        <w:wordWrap/>
        <w:overflowPunct w:val="0"/>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pPr>
      <w:r>
        <w:rPr>
          <w:rFonts w:hint="eastAsia" w:ascii="仿宋" w:hAnsi="仿宋" w:eastAsia="仿宋" w:cs="仿宋"/>
          <w:i w:val="0"/>
          <w:iCs w:val="0"/>
          <w:caps w:val="0"/>
          <w:color w:val="000000"/>
          <w:spacing w:val="0"/>
          <w:kern w:val="2"/>
          <w:sz w:val="32"/>
          <w:szCs w:val="32"/>
          <w:highlight w:val="none"/>
          <w:shd w:val="clear" w:fill="FFFFFF"/>
          <w:lang w:val="en-US" w:eastAsia="zh-CN" w:bidi="ar-SA"/>
        </w:rPr>
        <w:t> </w:t>
      </w:r>
      <w:r>
        <w:rPr>
          <w:rFonts w:hint="eastAsia" w:ascii="黑体" w:hAnsi="黑体" w:eastAsia="黑体" w:cs="黑体"/>
          <w:b w:val="0"/>
          <w:bCs w:val="0"/>
          <w:i w:val="0"/>
          <w:iCs w:val="0"/>
          <w:caps w:val="0"/>
          <w:color w:val="000000"/>
          <w:spacing w:val="0"/>
          <w:kern w:val="0"/>
          <w:sz w:val="32"/>
          <w:szCs w:val="32"/>
          <w:highlight w:val="none"/>
          <w:shd w:val="clear" w:fill="FFFFFF"/>
          <w:lang w:val="en-US" w:eastAsia="zh-CN" w:bidi="ar"/>
        </w:rPr>
        <w:t>四、2026年推进法治政府建设的主要安排</w:t>
      </w:r>
    </w:p>
    <w:p w14:paraId="41818D44">
      <w:pPr>
        <w:pStyle w:val="2"/>
        <w:keepNext w:val="0"/>
        <w:keepLines w:val="0"/>
        <w:pageBreakBefore w:val="0"/>
        <w:widowControl w:val="0"/>
        <w:numPr>
          <w:ilvl w:val="0"/>
          <w:numId w:val="2"/>
        </w:numPr>
        <w:kinsoku/>
        <w:wordWrap/>
        <w:overflowPunct w:val="0"/>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auto"/>
          <w:spacing w:val="0"/>
          <w:w w:val="100"/>
          <w:kern w:val="2"/>
          <w:sz w:val="32"/>
          <w:szCs w:val="32"/>
          <w:highlight w:val="none"/>
          <w:lang w:val="en-US" w:eastAsia="zh-CN" w:bidi="ar-SA"/>
        </w:rPr>
      </w:pPr>
      <w:r>
        <w:rPr>
          <w:rFonts w:hint="eastAsia" w:ascii="楷体_GB2312" w:hAnsi="楷体_GB2312" w:eastAsia="楷体_GB2312" w:cs="楷体_GB2312"/>
          <w:color w:val="auto"/>
          <w:spacing w:val="0"/>
          <w:w w:val="100"/>
          <w:kern w:val="2"/>
          <w:sz w:val="32"/>
          <w:szCs w:val="32"/>
          <w:highlight w:val="none"/>
          <w:lang w:val="en-US" w:eastAsia="zh-CN" w:bidi="ar-SA"/>
        </w:rPr>
        <w:t>优化队伍结构，加强执法能力建设</w:t>
      </w:r>
    </w:p>
    <w:p w14:paraId="3CAE0253">
      <w:pPr>
        <w:pStyle w:val="2"/>
        <w:keepNext w:val="0"/>
        <w:keepLines w:val="0"/>
        <w:pageBreakBefore w:val="0"/>
        <w:widowControl w:val="0"/>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一是聚焦新人培养。</w:t>
      </w:r>
      <w:r>
        <w:rPr>
          <w:rFonts w:hint="eastAsia" w:ascii="仿宋_GB2312" w:hAnsi="宋体" w:eastAsia="仿宋_GB2312" w:cs="方正仿宋_GB2312"/>
          <w:b w:val="0"/>
          <w:bCs w:val="0"/>
          <w:color w:val="000000"/>
          <w:kern w:val="2"/>
          <w:sz w:val="32"/>
          <w:szCs w:val="32"/>
          <w:highlight w:val="none"/>
          <w:lang w:val="en-US" w:eastAsia="zh-CN" w:bidi="ar-SA"/>
        </w:rPr>
        <w:t>全力培养新入职干部积极取得行政执法证，通过集中培训、以老带新</w:t>
      </w:r>
      <w:r>
        <w:rPr>
          <w:rFonts w:hint="eastAsia" w:hAnsi="宋体" w:cs="方正仿宋_GB2312"/>
          <w:b w:val="0"/>
          <w:bCs w:val="0"/>
          <w:color w:val="000000"/>
          <w:kern w:val="2"/>
          <w:sz w:val="32"/>
          <w:szCs w:val="32"/>
          <w:highlight w:val="none"/>
          <w:lang w:val="en-US" w:eastAsia="zh-CN" w:bidi="ar-SA"/>
        </w:rPr>
        <w:t>的</w:t>
      </w:r>
      <w:r>
        <w:rPr>
          <w:rFonts w:hint="eastAsia" w:ascii="仿宋_GB2312" w:hAnsi="宋体" w:eastAsia="仿宋_GB2312" w:cs="方正仿宋_GB2312"/>
          <w:b w:val="0"/>
          <w:bCs w:val="0"/>
          <w:color w:val="000000"/>
          <w:kern w:val="2"/>
          <w:sz w:val="32"/>
          <w:szCs w:val="32"/>
          <w:highlight w:val="none"/>
          <w:lang w:val="en-US" w:eastAsia="zh-CN" w:bidi="ar-SA"/>
        </w:rPr>
        <w:t>方式，推动新入职干部快速掌握行政执法必备知识与技能，夯实执法队伍基础。</w:t>
      </w:r>
      <w:r>
        <w:rPr>
          <w:rFonts w:hint="eastAsia" w:ascii="仿宋_GB2312" w:hAnsi="宋体" w:eastAsia="仿宋_GB2312" w:cs="方正仿宋_GB2312"/>
          <w:b/>
          <w:bCs/>
          <w:color w:val="000000"/>
          <w:kern w:val="2"/>
          <w:sz w:val="32"/>
          <w:szCs w:val="32"/>
          <w:highlight w:val="none"/>
          <w:lang w:val="en-US" w:eastAsia="zh-CN" w:bidi="ar-SA"/>
        </w:rPr>
        <w:t>二是开展办案教学。</w:t>
      </w:r>
      <w:r>
        <w:rPr>
          <w:rFonts w:hint="eastAsia" w:ascii="仿宋_GB2312" w:hAnsi="宋体" w:eastAsia="仿宋_GB2312" w:cs="方正仿宋_GB2312"/>
          <w:b w:val="0"/>
          <w:bCs w:val="0"/>
          <w:color w:val="000000"/>
          <w:kern w:val="2"/>
          <w:sz w:val="32"/>
          <w:szCs w:val="32"/>
          <w:highlight w:val="none"/>
          <w:lang w:val="en-US" w:eastAsia="zh-CN" w:bidi="ar-SA"/>
        </w:rPr>
        <w:t>紧扣住房公积金数字化政务建设需求，开展数字化办案技能培训，邀请技术专家和业务骨干，组织开展专题培训和岗位练兵，推动执法人员更新知识储备、提升业务能力。</w:t>
      </w:r>
    </w:p>
    <w:p w14:paraId="3193B6DC">
      <w:pPr>
        <w:keepNext w:val="0"/>
        <w:keepLines w:val="0"/>
        <w:pageBreakBefore w:val="0"/>
        <w:widowControl/>
        <w:numPr>
          <w:ilvl w:val="0"/>
          <w:numId w:val="2"/>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pacing w:val="0"/>
          <w:w w:val="100"/>
          <w:kern w:val="2"/>
          <w:sz w:val="32"/>
          <w:szCs w:val="32"/>
          <w:highlight w:val="none"/>
          <w:lang w:val="en-US" w:eastAsia="zh-CN" w:bidi="ar-SA"/>
        </w:rPr>
      </w:pPr>
      <w:r>
        <w:rPr>
          <w:rFonts w:hint="eastAsia" w:ascii="楷体_GB2312" w:hAnsi="楷体_GB2312" w:eastAsia="楷体_GB2312" w:cs="楷体_GB2312"/>
          <w:color w:val="auto"/>
          <w:spacing w:val="0"/>
          <w:w w:val="100"/>
          <w:kern w:val="2"/>
          <w:sz w:val="32"/>
          <w:szCs w:val="32"/>
          <w:highlight w:val="none"/>
          <w:lang w:val="en-US" w:eastAsia="zh-CN" w:bidi="ar-SA"/>
        </w:rPr>
        <w:t>创新普法形式，推动普法走深走实</w:t>
      </w:r>
    </w:p>
    <w:p w14:paraId="262DB1BC">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lang w:val="en-US" w:eastAsia="zh-CN" w:bidi="ar-SA"/>
        </w:rPr>
        <w:t>一是用好宣传平台。</w:t>
      </w:r>
      <w:r>
        <w:rPr>
          <w:rFonts w:hint="eastAsia" w:ascii="仿宋_GB2312" w:hAnsi="宋体" w:eastAsia="仿宋_GB2312" w:cs="方正仿宋_GB2312"/>
          <w:b w:val="0"/>
          <w:bCs w:val="0"/>
          <w:color w:val="000000"/>
          <w:kern w:val="2"/>
          <w:sz w:val="32"/>
          <w:szCs w:val="32"/>
          <w:highlight w:val="none"/>
          <w:lang w:val="en-US" w:eastAsia="zh-CN" w:bidi="ar-SA"/>
        </w:rPr>
        <w:t>要充分利用网络、自媒体等新兴媒体阵地，广泛开展法律法规宣传，持续推动普法工作与全媒体宣传深度融合。</w:t>
      </w:r>
      <w:r>
        <w:rPr>
          <w:rFonts w:hint="eastAsia" w:ascii="仿宋_GB2312" w:hAnsi="宋体" w:eastAsia="仿宋_GB2312" w:cs="方正仿宋_GB2312"/>
          <w:b/>
          <w:bCs/>
          <w:color w:val="000000"/>
          <w:kern w:val="2"/>
          <w:sz w:val="32"/>
          <w:szCs w:val="32"/>
          <w:highlight w:val="none"/>
          <w:lang w:val="en-US" w:eastAsia="zh-CN" w:bidi="ar-SA"/>
        </w:rPr>
        <w:t>二是开展分类宣传。</w:t>
      </w:r>
      <w:r>
        <w:rPr>
          <w:rFonts w:hint="eastAsia" w:ascii="仿宋_GB2312" w:hAnsi="宋体" w:eastAsia="仿宋_GB2312" w:cs="方正仿宋_GB2312"/>
          <w:b w:val="0"/>
          <w:bCs w:val="0"/>
          <w:color w:val="000000"/>
          <w:kern w:val="2"/>
          <w:sz w:val="32"/>
          <w:szCs w:val="32"/>
          <w:highlight w:val="none"/>
          <w:lang w:val="en-US" w:eastAsia="zh-CN" w:bidi="ar-SA"/>
        </w:rPr>
        <w:t>聚焦缴存单位、在职职工、灵活就业人员等不同群体，精准梳理差异化宣教需求，通过发放针对性宣传手册、现场答疑解惑的方式</w:t>
      </w:r>
      <w:r>
        <w:rPr>
          <w:rFonts w:hint="default" w:ascii="仿宋_GB2312" w:hAnsi="宋体" w:eastAsia="仿宋_GB2312" w:cs="方正仿宋_GB2312"/>
          <w:b w:val="0"/>
          <w:bCs w:val="0"/>
          <w:color w:val="000000"/>
          <w:kern w:val="2"/>
          <w:sz w:val="32"/>
          <w:szCs w:val="32"/>
          <w:highlight w:val="none"/>
          <w:lang w:val="en-US" w:eastAsia="zh-CN" w:bidi="ar-SA"/>
        </w:rPr>
        <w:t>，</w:t>
      </w:r>
      <w:r>
        <w:rPr>
          <w:rFonts w:hint="eastAsia" w:ascii="仿宋_GB2312" w:hAnsi="宋体" w:eastAsia="仿宋_GB2312" w:cs="方正仿宋_GB2312"/>
          <w:b w:val="0"/>
          <w:bCs w:val="0"/>
          <w:color w:val="000000"/>
          <w:kern w:val="2"/>
          <w:sz w:val="32"/>
          <w:szCs w:val="32"/>
          <w:highlight w:val="none"/>
          <w:lang w:val="en-US" w:eastAsia="zh-CN" w:bidi="ar-SA"/>
        </w:rPr>
        <w:t>推动不同群体对公积金法律法规的认知从表面走向深入。</w:t>
      </w:r>
    </w:p>
    <w:p w14:paraId="35AE4AC6">
      <w:pPr>
        <w:keepNext w:val="0"/>
        <w:keepLines w:val="0"/>
        <w:pageBreakBefore w:val="0"/>
        <w:widowControl/>
        <w:numPr>
          <w:ilvl w:val="0"/>
          <w:numId w:val="2"/>
        </w:numPr>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楷体_GB2312" w:hAnsi="楷体_GB2312" w:eastAsia="楷体_GB2312" w:cs="楷体_GB2312"/>
          <w:color w:val="auto"/>
          <w:spacing w:val="0"/>
          <w:w w:val="100"/>
          <w:kern w:val="2"/>
          <w:sz w:val="32"/>
          <w:szCs w:val="32"/>
          <w:highlight w:val="none"/>
          <w:u w:val="none"/>
          <w:lang w:val="en-US" w:eastAsia="zh-CN" w:bidi="ar-SA"/>
        </w:rPr>
      </w:pPr>
      <w:r>
        <w:rPr>
          <w:rFonts w:hint="eastAsia" w:ascii="楷体_GB2312" w:hAnsi="楷体_GB2312" w:eastAsia="楷体_GB2312" w:cs="楷体_GB2312"/>
          <w:color w:val="auto"/>
          <w:spacing w:val="0"/>
          <w:w w:val="100"/>
          <w:kern w:val="2"/>
          <w:sz w:val="32"/>
          <w:szCs w:val="32"/>
          <w:highlight w:val="none"/>
          <w:lang w:val="en-US" w:eastAsia="zh-CN" w:bidi="ar-SA"/>
        </w:rPr>
        <w:t>加强内部宣教，提升学法</w:t>
      </w:r>
      <w:r>
        <w:rPr>
          <w:rFonts w:hint="eastAsia" w:ascii="楷体_GB2312" w:hAnsi="楷体_GB2312" w:eastAsia="楷体_GB2312" w:cs="楷体_GB2312"/>
          <w:color w:val="auto"/>
          <w:spacing w:val="0"/>
          <w:w w:val="100"/>
          <w:kern w:val="2"/>
          <w:sz w:val="32"/>
          <w:szCs w:val="32"/>
          <w:highlight w:val="none"/>
          <w:u w:val="none"/>
          <w:lang w:val="en-US" w:eastAsia="zh-CN" w:bidi="ar-SA"/>
        </w:rPr>
        <w:t>用法意识</w:t>
      </w:r>
    </w:p>
    <w:p w14:paraId="575829B5">
      <w:pPr>
        <w:keepNext w:val="0"/>
        <w:keepLines w:val="0"/>
        <w:pageBreakBefore w:val="0"/>
        <w:widowControl/>
        <w:numPr>
          <w:ilvl w:val="0"/>
          <w:numId w:val="0"/>
        </w:numPr>
        <w:kinsoku/>
        <w:wordWrap/>
        <w:overflowPunct w:val="0"/>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方正仿宋_GB2312"/>
          <w:b w:val="0"/>
          <w:bCs w:val="0"/>
          <w:color w:val="000000"/>
          <w:kern w:val="2"/>
          <w:sz w:val="32"/>
          <w:szCs w:val="32"/>
          <w:highlight w:val="none"/>
          <w:lang w:val="en-US" w:eastAsia="zh-CN" w:bidi="ar-SA"/>
        </w:rPr>
      </w:pPr>
      <w:r>
        <w:rPr>
          <w:rFonts w:hint="eastAsia" w:ascii="仿宋_GB2312" w:hAnsi="宋体" w:eastAsia="仿宋_GB2312" w:cs="方正仿宋_GB2312"/>
          <w:b/>
          <w:bCs/>
          <w:color w:val="000000"/>
          <w:kern w:val="2"/>
          <w:sz w:val="32"/>
          <w:szCs w:val="32"/>
          <w:highlight w:val="none"/>
          <w:u w:val="none"/>
          <w:lang w:val="en-US" w:eastAsia="zh-CN" w:bidi="ar-SA"/>
        </w:rPr>
        <w:t>一是</w:t>
      </w:r>
      <w:r>
        <w:rPr>
          <w:rFonts w:hint="eastAsia" w:ascii="仿宋_GB2312" w:hAnsi="宋体" w:eastAsia="仿宋_GB2312" w:cs="方正仿宋_GB2312"/>
          <w:b/>
          <w:bCs/>
          <w:color w:val="000000"/>
          <w:kern w:val="2"/>
          <w:sz w:val="32"/>
          <w:szCs w:val="32"/>
          <w:highlight w:val="none"/>
          <w:lang w:val="en-US" w:eastAsia="zh-CN" w:bidi="ar-SA"/>
        </w:rPr>
        <w:t>丰富学习形式。</w:t>
      </w:r>
      <w:r>
        <w:rPr>
          <w:rFonts w:hint="eastAsia" w:ascii="仿宋_GB2312" w:hAnsi="宋体" w:eastAsia="仿宋_GB2312" w:cs="方正仿宋_GB2312"/>
          <w:b w:val="0"/>
          <w:bCs w:val="0"/>
          <w:color w:val="000000"/>
          <w:kern w:val="2"/>
          <w:sz w:val="32"/>
          <w:szCs w:val="32"/>
          <w:highlight w:val="none"/>
          <w:u w:val="none"/>
          <w:lang w:val="en-US" w:eastAsia="zh-CN" w:bidi="ar-SA"/>
        </w:rPr>
        <w:t>线上依托法律课程视频，职工</w:t>
      </w:r>
      <w:r>
        <w:rPr>
          <w:rFonts w:hint="eastAsia" w:ascii="仿宋_GB2312" w:hAnsi="宋体" w:eastAsia="仿宋_GB2312" w:cs="方正仿宋_GB2312"/>
          <w:b w:val="0"/>
          <w:bCs w:val="0"/>
          <w:color w:val="000000"/>
          <w:kern w:val="2"/>
          <w:sz w:val="32"/>
          <w:szCs w:val="32"/>
          <w:highlight w:val="none"/>
          <w:lang w:val="en-US" w:eastAsia="zh-CN" w:bidi="ar-SA"/>
        </w:rPr>
        <w:t>可灵活安排学习时间；线下定期举办培训讲座、考试。同时，结合工作实际，持续探索具有生动性、互动性的学习形式。</w:t>
      </w:r>
      <w:r>
        <w:rPr>
          <w:rFonts w:hint="eastAsia" w:ascii="仿宋_GB2312" w:hAnsi="宋体" w:eastAsia="仿宋_GB2312" w:cs="方正仿宋_GB2312"/>
          <w:b/>
          <w:bCs/>
          <w:color w:val="000000"/>
          <w:kern w:val="2"/>
          <w:sz w:val="32"/>
          <w:szCs w:val="32"/>
          <w:highlight w:val="none"/>
          <w:lang w:val="en-US" w:eastAsia="zh-CN" w:bidi="ar-SA"/>
        </w:rPr>
        <w:t>二是</w:t>
      </w:r>
      <w:r>
        <w:rPr>
          <w:rFonts w:hint="default" w:ascii="仿宋_GB2312" w:hAnsi="宋体" w:eastAsia="仿宋_GB2312" w:cs="方正仿宋_GB2312"/>
          <w:b/>
          <w:bCs/>
          <w:color w:val="000000"/>
          <w:kern w:val="2"/>
          <w:sz w:val="32"/>
          <w:szCs w:val="32"/>
          <w:highlight w:val="none"/>
          <w:lang w:val="en-US" w:eastAsia="zh-CN" w:bidi="ar-SA"/>
        </w:rPr>
        <w:t>强化理念引导</w:t>
      </w:r>
      <w:r>
        <w:rPr>
          <w:rFonts w:hint="eastAsia" w:ascii="仿宋_GB2312" w:hAnsi="宋体" w:eastAsia="仿宋_GB2312" w:cs="方正仿宋_GB2312"/>
          <w:b/>
          <w:bCs/>
          <w:color w:val="000000"/>
          <w:kern w:val="2"/>
          <w:sz w:val="32"/>
          <w:szCs w:val="32"/>
          <w:highlight w:val="none"/>
          <w:lang w:val="en-US" w:eastAsia="zh-CN" w:bidi="ar-SA"/>
        </w:rPr>
        <w:t>。</w:t>
      </w:r>
      <w:r>
        <w:rPr>
          <w:rFonts w:hint="default" w:ascii="仿宋_GB2312" w:hAnsi="宋体" w:eastAsia="仿宋_GB2312" w:cs="方正仿宋_GB2312"/>
          <w:b w:val="0"/>
          <w:bCs w:val="0"/>
          <w:color w:val="000000"/>
          <w:kern w:val="2"/>
          <w:sz w:val="32"/>
          <w:szCs w:val="32"/>
          <w:highlight w:val="none"/>
          <w:lang w:val="en-US" w:eastAsia="zh-CN" w:bidi="ar-SA"/>
        </w:rPr>
        <w:t>梳理贷款审核、提取核查、缴存登记等业务中的典型法律风险案例，结合案例</w:t>
      </w:r>
      <w:r>
        <w:rPr>
          <w:rFonts w:hint="eastAsia" w:ascii="仿宋_GB2312" w:hAnsi="宋体" w:eastAsia="仿宋_GB2312" w:cs="方正仿宋_GB2312"/>
          <w:b w:val="0"/>
          <w:bCs w:val="0"/>
          <w:color w:val="000000"/>
          <w:kern w:val="2"/>
          <w:sz w:val="32"/>
          <w:szCs w:val="32"/>
          <w:highlight w:val="none"/>
          <w:lang w:val="en-US" w:eastAsia="zh-CN" w:bidi="ar-SA"/>
        </w:rPr>
        <w:t>组织职工学习</w:t>
      </w:r>
      <w:r>
        <w:rPr>
          <w:rFonts w:hint="default" w:ascii="仿宋_GB2312" w:hAnsi="宋体" w:eastAsia="仿宋_GB2312" w:cs="方正仿宋_GB2312"/>
          <w:b w:val="0"/>
          <w:bCs w:val="0"/>
          <w:color w:val="000000"/>
          <w:kern w:val="2"/>
          <w:sz w:val="32"/>
          <w:szCs w:val="32"/>
          <w:highlight w:val="none"/>
          <w:lang w:val="en-US" w:eastAsia="zh-CN" w:bidi="ar-SA"/>
        </w:rPr>
        <w:t>《住房公积金管理条例</w:t>
      </w:r>
      <w:r>
        <w:rPr>
          <w:rFonts w:hint="eastAsia" w:ascii="仿宋_GB2312" w:hAnsi="宋体" w:eastAsia="仿宋_GB2312" w:cs="方正仿宋_GB2312"/>
          <w:b w:val="0"/>
          <w:bCs w:val="0"/>
          <w:color w:val="000000"/>
          <w:kern w:val="2"/>
          <w:sz w:val="32"/>
          <w:szCs w:val="32"/>
          <w:highlight w:val="none"/>
          <w:lang w:val="en-US" w:eastAsia="zh-CN" w:bidi="ar-SA"/>
        </w:rPr>
        <w:t>》《</w:t>
      </w:r>
      <w:r>
        <w:rPr>
          <w:rFonts w:hint="default" w:ascii="仿宋_GB2312" w:hAnsi="宋体" w:eastAsia="仿宋_GB2312" w:cs="方正仿宋_GB2312"/>
          <w:b w:val="0"/>
          <w:bCs w:val="0"/>
          <w:color w:val="000000"/>
          <w:kern w:val="2"/>
          <w:sz w:val="32"/>
          <w:szCs w:val="32"/>
          <w:highlight w:val="none"/>
          <w:lang w:val="en-US" w:eastAsia="zh-CN" w:bidi="ar-SA"/>
        </w:rPr>
        <w:t>民法典》中与业务紧密相关的条款，让职工清晰认识到用法对规范业务、规避风险的重要性。</w:t>
      </w:r>
    </w:p>
    <w:p w14:paraId="7AD9156F">
      <w:pPr>
        <w:keepNext w:val="0"/>
        <w:keepLines w:val="0"/>
        <w:pageBreakBefore w:val="0"/>
        <w:kinsoku/>
        <w:wordWrap/>
        <w:overflowPunct w:val="0"/>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1C6298E1">
      <w:pPr>
        <w:keepNext w:val="0"/>
        <w:keepLines w:val="0"/>
        <w:pageBreakBefore w:val="0"/>
        <w:kinsoku/>
        <w:wordWrap/>
        <w:overflowPunct w:val="0"/>
        <w:topLinePunct w:val="0"/>
        <w:autoSpaceDE/>
        <w:autoSpaceDN/>
        <w:bidi w:val="0"/>
        <w:adjustRightInd/>
        <w:snapToGrid/>
        <w:spacing w:line="560" w:lineRule="exact"/>
        <w:ind w:firstLine="960" w:firstLineChars="3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p>
    <w:p w14:paraId="2DC94853">
      <w:pPr>
        <w:keepNext w:val="0"/>
        <w:keepLines w:val="0"/>
        <w:pageBreakBefore w:val="0"/>
        <w:kinsoku/>
        <w:wordWrap/>
        <w:overflowPunct w:val="0"/>
        <w:topLinePunct w:val="0"/>
        <w:autoSpaceDE/>
        <w:autoSpaceDN/>
        <w:bidi w:val="0"/>
        <w:adjustRightInd/>
        <w:snapToGrid/>
        <w:spacing w:line="560" w:lineRule="exact"/>
        <w:ind w:firstLine="4160" w:firstLineChars="1300"/>
        <w:textAlignment w:val="auto"/>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四平市住房公积金管理中心</w:t>
      </w:r>
    </w:p>
    <w:p w14:paraId="6DB749FF">
      <w:pPr>
        <w:keepNext w:val="0"/>
        <w:keepLines w:val="0"/>
        <w:pageBreakBefore w:val="0"/>
        <w:kinsoku/>
        <w:wordWrap/>
        <w:overflowPunct w:val="0"/>
        <w:topLinePunct w:val="0"/>
        <w:autoSpaceDE/>
        <w:autoSpaceDN/>
        <w:bidi w:val="0"/>
        <w:adjustRightInd/>
        <w:snapToGrid/>
        <w:spacing w:line="560" w:lineRule="exact"/>
        <w:ind w:firstLine="4800" w:firstLineChars="1500"/>
        <w:textAlignment w:val="auto"/>
        <w:rPr>
          <w:rFonts w:hint="default"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仿宋_GB2312" w:hAnsi="仿宋_GB2312" w:eastAsia="仿宋_GB2312" w:cs="仿宋_GB2312"/>
          <w:i w:val="0"/>
          <w:iCs w:val="0"/>
          <w:caps w:val="0"/>
          <w:color w:val="000000" w:themeColor="text1"/>
          <w:spacing w:val="0"/>
          <w:kern w:val="0"/>
          <w:sz w:val="32"/>
          <w:szCs w:val="32"/>
          <w:shd w:val="clear" w:fill="FFFFFF"/>
          <w:lang w:val="en-US" w:eastAsia="zh-CN" w:bidi="ar"/>
          <w14:textFill>
            <w14:solidFill>
              <w14:schemeClr w14:val="tx1"/>
            </w14:solidFill>
          </w14:textFill>
        </w:rPr>
        <w:t>2026年1月9日</w:t>
      </w:r>
    </w:p>
    <w:p w14:paraId="0BA50A6E">
      <w:pPr>
        <w:rPr>
          <w:rFonts w:hint="eastAsia" w:eastAsiaTheme="minorEastAsia"/>
          <w:lang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885DFA1-5C13-4B57-8F82-6D998D92E9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A9EF3A10-6E8A-46D9-B0F4-9A3D8FC9BDCE}"/>
  </w:font>
  <w:font w:name="仿宋">
    <w:panose1 w:val="02010609060101010101"/>
    <w:charset w:val="86"/>
    <w:family w:val="auto"/>
    <w:pitch w:val="default"/>
    <w:sig w:usb0="800002BF" w:usb1="38CF7CFA" w:usb2="00000016" w:usb3="00000000" w:csb0="00040001" w:csb1="00000000"/>
    <w:embedRegular r:id="rId3" w:fontKey="{EF339C16-7602-46A0-9B24-E7BD003E9A3E}"/>
  </w:font>
  <w:font w:name="方正小标宋简体">
    <w:panose1 w:val="02010600010101010101"/>
    <w:charset w:val="86"/>
    <w:family w:val="auto"/>
    <w:pitch w:val="default"/>
    <w:sig w:usb0="00000001" w:usb1="080E0000" w:usb2="00000000" w:usb3="00000000" w:csb0="00040000" w:csb1="00000000"/>
    <w:embedRegular r:id="rId4" w:fontKey="{BBC61419-5797-4C84-B22E-BEAD5879D91A}"/>
  </w:font>
  <w:font w:name="方正仿宋_GB2312">
    <w:panose1 w:val="02000000000000000000"/>
    <w:charset w:val="86"/>
    <w:family w:val="auto"/>
    <w:pitch w:val="default"/>
    <w:sig w:usb0="A00002BF" w:usb1="184F6CFA" w:usb2="00000012" w:usb3="00000000" w:csb0="00040001" w:csb1="00000000"/>
    <w:embedRegular r:id="rId5" w:fontKey="{52FD7806-004E-4F53-9B94-AF8C440F401A}"/>
  </w:font>
  <w:font w:name="楷体_GB2312">
    <w:panose1 w:val="02010609030101010101"/>
    <w:charset w:val="86"/>
    <w:family w:val="auto"/>
    <w:pitch w:val="default"/>
    <w:sig w:usb0="00000001" w:usb1="080E0000" w:usb2="00000000" w:usb3="00000000" w:csb0="00040000" w:csb1="00000000"/>
    <w:embedRegular r:id="rId6" w:fontKey="{F7264B1E-1716-4A6A-9258-D212EC5B47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2F6F">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7B138">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DF7B138">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9FA69E"/>
    <w:multiLevelType w:val="singleLevel"/>
    <w:tmpl w:val="989FA69E"/>
    <w:lvl w:ilvl="0" w:tentative="0">
      <w:start w:val="1"/>
      <w:numFmt w:val="chineseCounting"/>
      <w:suff w:val="nothing"/>
      <w:lvlText w:val="（%1）"/>
      <w:lvlJc w:val="left"/>
      <w:rPr>
        <w:rFonts w:hint="eastAsia"/>
        <w:sz w:val="32"/>
        <w:szCs w:val="32"/>
      </w:rPr>
    </w:lvl>
  </w:abstractNum>
  <w:abstractNum w:abstractNumId="1">
    <w:nsid w:val="5ED68556"/>
    <w:multiLevelType w:val="singleLevel"/>
    <w:tmpl w:val="5ED68556"/>
    <w:lvl w:ilvl="0" w:tentative="0">
      <w:start w:val="2"/>
      <w:numFmt w:val="chineseCounting"/>
      <w:suff w:val="nothing"/>
      <w:lvlText w:val="（%1）"/>
      <w:lvlJc w:val="left"/>
      <w:rPr>
        <w:rFonts w:hint="eastAsia"/>
        <w:sz w:val="32"/>
        <w:szCs w:val="32"/>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3382"/>
    <w:rsid w:val="10077A1C"/>
    <w:rsid w:val="4B802AA5"/>
    <w:rsid w:val="5C650428"/>
    <w:rsid w:val="5D940471"/>
    <w:rsid w:val="67997406"/>
    <w:rsid w:val="78BD5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99"/>
    <w:pPr>
      <w:snapToGrid w:val="0"/>
      <w:ind w:firstLine="556"/>
    </w:pPr>
    <w:rPr>
      <w:rFonts w:ascii="仿宋_GB2312" w:hAnsi="Times New Roman" w:eastAsia="仿宋_GB2312"/>
      <w:kern w:val="0"/>
      <w:szCs w:val="20"/>
      <w:lang w:val="zh-CN"/>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2847</Words>
  <Characters>2880</Characters>
  <Lines>0</Lines>
  <Paragraphs>0</Paragraphs>
  <TotalTime>155</TotalTime>
  <ScaleCrop>false</ScaleCrop>
  <LinksUpToDate>false</LinksUpToDate>
  <CharactersWithSpaces>2881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2026-01-04T00:45:00Z</dcterms:created>
  <dc:creator>86159</dc:creator>
  <cp:lastModifiedBy>四平公积金</cp:lastModifiedBy>
  <cp:lastPrinted>2026-01-06T03:05:11Z</cp:lastPrinted>
  <dcterms:modified xsi:type="dcterms:W3CDTF">2026-01-06T05:05:42Z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eyJoZGlkIjoiZjk1NTM0Yjg1MTBiOTA2ZmZhZDFkMDk4MTk5YzM5ZTEiLCJ1c2VySWQiOiIxNDg3ODE0MTQ4In0=</vt:lpwstr>
  </property>
  <property fmtid="{D5CDD505-2E9C-101B-9397-08002B2CF9AE}" pid="4" name="ICV">
    <vt:lpwstr>8356E010C8D9416A8CA9126BF6660565_13</vt:lpwstr>
  </property>
</Properties>
</file>